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B9DA9" w14:textId="77777777" w:rsidR="000101B1" w:rsidRPr="000101B1" w:rsidRDefault="000101B1" w:rsidP="000101B1">
      <w:pPr>
        <w:autoSpaceDE w:val="0"/>
        <w:jc w:val="left"/>
        <w:rPr>
          <w:rFonts w:ascii="ＭＳ ゴシック" w:eastAsia="ＭＳ ゴシック" w:hAnsi="ＭＳ ゴシック"/>
          <w:sz w:val="40"/>
          <w:szCs w:val="36"/>
        </w:rPr>
      </w:pPr>
    </w:p>
    <w:p w14:paraId="66DC0FB8" w14:textId="77777777" w:rsidR="000101B1" w:rsidRPr="000101B1" w:rsidRDefault="000101B1" w:rsidP="000101B1">
      <w:pPr>
        <w:autoSpaceDE w:val="0"/>
        <w:jc w:val="left"/>
        <w:rPr>
          <w:rFonts w:ascii="ＭＳ ゴシック" w:eastAsia="ＭＳ ゴシック" w:hAnsi="ＭＳ ゴシック"/>
          <w:sz w:val="40"/>
          <w:szCs w:val="36"/>
        </w:rPr>
      </w:pPr>
    </w:p>
    <w:p w14:paraId="2353EFF2" w14:textId="77777777" w:rsidR="000101B1" w:rsidRPr="000101B1" w:rsidRDefault="000101B1" w:rsidP="000101B1">
      <w:pPr>
        <w:autoSpaceDE w:val="0"/>
        <w:jc w:val="left"/>
        <w:rPr>
          <w:rFonts w:ascii="ＭＳ ゴシック" w:eastAsia="ＭＳ ゴシック" w:hAnsi="ＭＳ ゴシック"/>
          <w:sz w:val="40"/>
          <w:szCs w:val="36"/>
        </w:rPr>
      </w:pPr>
    </w:p>
    <w:p w14:paraId="6628D22E" w14:textId="77777777" w:rsidR="000101B1" w:rsidRPr="000101B1" w:rsidRDefault="000101B1" w:rsidP="000101B1">
      <w:pPr>
        <w:autoSpaceDE w:val="0"/>
        <w:jc w:val="left"/>
        <w:rPr>
          <w:rFonts w:ascii="ＭＳ ゴシック" w:eastAsia="ＭＳ ゴシック" w:hAnsi="ＭＳ ゴシック"/>
          <w:sz w:val="40"/>
          <w:szCs w:val="36"/>
        </w:rPr>
      </w:pPr>
    </w:p>
    <w:p w14:paraId="4714228D" w14:textId="77777777" w:rsidR="000101B1" w:rsidRPr="000101B1" w:rsidRDefault="000101B1" w:rsidP="000101B1">
      <w:pPr>
        <w:autoSpaceDE w:val="0"/>
        <w:jc w:val="left"/>
        <w:rPr>
          <w:rFonts w:ascii="ＭＳ ゴシック" w:eastAsia="ＭＳ ゴシック" w:hAnsi="ＭＳ ゴシック"/>
          <w:sz w:val="40"/>
          <w:szCs w:val="36"/>
        </w:rPr>
      </w:pPr>
    </w:p>
    <w:p w14:paraId="6A7E4E04" w14:textId="77777777" w:rsidR="000101B1" w:rsidRPr="000101B1" w:rsidRDefault="000101B1" w:rsidP="000101B1">
      <w:pPr>
        <w:autoSpaceDE w:val="0"/>
        <w:jc w:val="center"/>
        <w:rPr>
          <w:rFonts w:ascii="ＭＳ ゴシック" w:eastAsia="ＭＳ ゴシック" w:hAnsi="ＭＳ ゴシック"/>
          <w:sz w:val="40"/>
          <w:szCs w:val="36"/>
        </w:rPr>
      </w:pPr>
      <w:r w:rsidRPr="000101B1">
        <w:rPr>
          <w:rFonts w:ascii="ＭＳ ゴシック" w:eastAsia="ＭＳ ゴシック" w:hAnsi="ＭＳ ゴシック" w:hint="eastAsia"/>
          <w:sz w:val="44"/>
          <w:szCs w:val="36"/>
        </w:rPr>
        <w:t>決算会計運営ルール</w:t>
      </w:r>
    </w:p>
    <w:p w14:paraId="0A83E4A5" w14:textId="77777777" w:rsidR="000101B1" w:rsidRPr="000101B1" w:rsidRDefault="000101B1" w:rsidP="000101B1">
      <w:pPr>
        <w:autoSpaceDE w:val="0"/>
        <w:jc w:val="left"/>
        <w:rPr>
          <w:rFonts w:ascii="ＭＳ ゴシック" w:eastAsia="ＭＳ ゴシック" w:hAnsi="ＭＳ ゴシック"/>
          <w:sz w:val="40"/>
          <w:szCs w:val="36"/>
        </w:rPr>
      </w:pPr>
    </w:p>
    <w:p w14:paraId="00E744B8" w14:textId="77777777" w:rsidR="000101B1" w:rsidRPr="000101B1" w:rsidRDefault="000101B1" w:rsidP="000101B1">
      <w:pPr>
        <w:autoSpaceDE w:val="0"/>
        <w:jc w:val="left"/>
        <w:rPr>
          <w:rFonts w:ascii="ＭＳ ゴシック" w:eastAsia="ＭＳ ゴシック" w:hAnsi="ＭＳ ゴシック"/>
          <w:sz w:val="40"/>
          <w:szCs w:val="36"/>
        </w:rPr>
      </w:pPr>
    </w:p>
    <w:p w14:paraId="4343F1DA" w14:textId="77777777" w:rsidR="000101B1" w:rsidRPr="000101B1" w:rsidRDefault="000101B1" w:rsidP="000101B1">
      <w:pPr>
        <w:autoSpaceDE w:val="0"/>
        <w:jc w:val="left"/>
        <w:rPr>
          <w:rFonts w:ascii="ＭＳ ゴシック" w:eastAsia="ＭＳ ゴシック" w:hAnsi="ＭＳ ゴシック"/>
          <w:sz w:val="40"/>
          <w:szCs w:val="36"/>
        </w:rPr>
      </w:pPr>
    </w:p>
    <w:p w14:paraId="20A21C14" w14:textId="77777777" w:rsidR="000101B1" w:rsidRPr="000101B1" w:rsidRDefault="000101B1" w:rsidP="000101B1">
      <w:pPr>
        <w:autoSpaceDE w:val="0"/>
        <w:jc w:val="left"/>
        <w:rPr>
          <w:rFonts w:ascii="ＭＳ ゴシック" w:eastAsia="ＭＳ ゴシック" w:hAnsi="ＭＳ ゴシック"/>
          <w:sz w:val="40"/>
          <w:szCs w:val="36"/>
        </w:rPr>
      </w:pPr>
    </w:p>
    <w:p w14:paraId="061BEF14" w14:textId="77777777" w:rsidR="000101B1" w:rsidRPr="000101B1" w:rsidRDefault="000101B1" w:rsidP="000101B1">
      <w:pPr>
        <w:autoSpaceDE w:val="0"/>
        <w:jc w:val="left"/>
        <w:rPr>
          <w:rFonts w:ascii="ＭＳ ゴシック" w:eastAsia="ＭＳ ゴシック" w:hAnsi="ＭＳ ゴシック"/>
          <w:sz w:val="40"/>
          <w:szCs w:val="36"/>
        </w:rPr>
      </w:pPr>
    </w:p>
    <w:p w14:paraId="78AF9480" w14:textId="77777777" w:rsidR="000101B1" w:rsidRPr="000101B1" w:rsidRDefault="000101B1" w:rsidP="000101B1">
      <w:pPr>
        <w:autoSpaceDE w:val="0"/>
        <w:jc w:val="left"/>
        <w:rPr>
          <w:rFonts w:ascii="ＭＳ ゴシック" w:eastAsia="ＭＳ ゴシック" w:hAnsi="ＭＳ ゴシック"/>
          <w:sz w:val="40"/>
          <w:szCs w:val="36"/>
        </w:rPr>
      </w:pPr>
    </w:p>
    <w:p w14:paraId="02E0E239" w14:textId="77777777" w:rsidR="000101B1" w:rsidRPr="000101B1" w:rsidRDefault="000101B1" w:rsidP="000101B1">
      <w:pPr>
        <w:autoSpaceDE w:val="0"/>
        <w:jc w:val="left"/>
        <w:rPr>
          <w:rFonts w:ascii="ＭＳ ゴシック" w:eastAsia="ＭＳ ゴシック" w:hAnsi="ＭＳ ゴシック"/>
          <w:sz w:val="40"/>
          <w:szCs w:val="36"/>
        </w:rPr>
      </w:pPr>
    </w:p>
    <w:p w14:paraId="08535198" w14:textId="77777777" w:rsidR="000101B1" w:rsidRPr="000101B1" w:rsidRDefault="000101B1" w:rsidP="000101B1">
      <w:pPr>
        <w:autoSpaceDE w:val="0"/>
        <w:jc w:val="left"/>
        <w:rPr>
          <w:rFonts w:ascii="ＭＳ ゴシック" w:eastAsia="ＭＳ ゴシック" w:hAnsi="ＭＳ ゴシック"/>
          <w:sz w:val="40"/>
          <w:szCs w:val="36"/>
        </w:rPr>
      </w:pPr>
    </w:p>
    <w:p w14:paraId="7F6DE020" w14:textId="77777777" w:rsidR="000101B1" w:rsidRPr="000101B1" w:rsidRDefault="000101B1" w:rsidP="000101B1">
      <w:pPr>
        <w:autoSpaceDE w:val="0"/>
        <w:jc w:val="left"/>
        <w:rPr>
          <w:rFonts w:ascii="ＭＳ ゴシック" w:eastAsia="ＭＳ ゴシック" w:hAnsi="ＭＳ ゴシック"/>
          <w:sz w:val="40"/>
          <w:szCs w:val="36"/>
        </w:rPr>
      </w:pPr>
    </w:p>
    <w:p w14:paraId="353C2D64" w14:textId="77777777" w:rsidR="000101B1" w:rsidRPr="000101B1" w:rsidRDefault="000101B1" w:rsidP="000101B1">
      <w:pPr>
        <w:autoSpaceDE w:val="0"/>
        <w:jc w:val="left"/>
        <w:rPr>
          <w:rFonts w:ascii="ＭＳ ゴシック" w:eastAsia="ＭＳ ゴシック" w:hAnsi="ＭＳ ゴシック"/>
          <w:sz w:val="40"/>
          <w:szCs w:val="36"/>
        </w:rPr>
      </w:pPr>
    </w:p>
    <w:tbl>
      <w:tblPr>
        <w:tblStyle w:val="a7"/>
        <w:tblW w:w="0" w:type="auto"/>
        <w:jc w:val="center"/>
        <w:tblLook w:val="04A0" w:firstRow="1" w:lastRow="0" w:firstColumn="1" w:lastColumn="0" w:noHBand="0" w:noVBand="1"/>
      </w:tblPr>
      <w:tblGrid>
        <w:gridCol w:w="2467"/>
        <w:gridCol w:w="3061"/>
      </w:tblGrid>
      <w:tr w:rsidR="000101B1" w:rsidRPr="000101B1" w14:paraId="1A5F2D0C" w14:textId="77777777" w:rsidTr="008A34B8">
        <w:trPr>
          <w:trHeight w:val="340"/>
          <w:jc w:val="center"/>
        </w:trPr>
        <w:tc>
          <w:tcPr>
            <w:tcW w:w="2467" w:type="dxa"/>
            <w:vAlign w:val="center"/>
          </w:tcPr>
          <w:p w14:paraId="60A6371C"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付記番号</w:t>
            </w:r>
          </w:p>
        </w:tc>
        <w:tc>
          <w:tcPr>
            <w:tcW w:w="3061" w:type="dxa"/>
            <w:vAlign w:val="center"/>
          </w:tcPr>
          <w:p w14:paraId="639D0895" w14:textId="77777777" w:rsidR="000101B1" w:rsidRPr="000101B1" w:rsidRDefault="000101B1" w:rsidP="008A34B8">
            <w:pPr>
              <w:widowControl/>
              <w:ind w:leftChars="50" w:left="135"/>
              <w:rPr>
                <w:rFonts w:ascii="ＭＳ ゴシック" w:eastAsia="ＭＳ ゴシック" w:hAnsi="ＭＳ ゴシック"/>
                <w:szCs w:val="24"/>
              </w:rPr>
            </w:pPr>
            <w:r w:rsidRPr="000101B1">
              <w:rPr>
                <w:rFonts w:ascii="ＭＳ ゴシック" w:eastAsia="ＭＳ ゴシック" w:hAnsi="ＭＳ ゴシック" w:hint="eastAsia"/>
                <w:szCs w:val="24"/>
              </w:rPr>
              <w:t>要-業務-01-(2)</w:t>
            </w:r>
          </w:p>
        </w:tc>
      </w:tr>
      <w:tr w:rsidR="000101B1" w:rsidRPr="000101B1" w14:paraId="566AE7E5" w14:textId="77777777" w:rsidTr="008A34B8">
        <w:trPr>
          <w:trHeight w:val="340"/>
          <w:jc w:val="center"/>
        </w:trPr>
        <w:tc>
          <w:tcPr>
            <w:tcW w:w="2467" w:type="dxa"/>
            <w:vAlign w:val="center"/>
          </w:tcPr>
          <w:p w14:paraId="504FF4EF"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主管部</w:t>
            </w:r>
          </w:p>
        </w:tc>
        <w:tc>
          <w:tcPr>
            <w:tcW w:w="3061" w:type="dxa"/>
            <w:vAlign w:val="center"/>
          </w:tcPr>
          <w:p w14:paraId="26744AEB" w14:textId="2631F0A8" w:rsidR="000101B1" w:rsidRPr="000101B1" w:rsidRDefault="00507FC9" w:rsidP="008A34B8">
            <w:pPr>
              <w:widowControl/>
              <w:ind w:leftChars="50" w:left="135"/>
              <w:rPr>
                <w:rFonts w:ascii="ＭＳ ゴシック" w:eastAsia="ＭＳ ゴシック" w:hAnsi="ＭＳ ゴシック"/>
                <w:szCs w:val="24"/>
              </w:rPr>
            </w:pPr>
            <w:r>
              <w:rPr>
                <w:rFonts w:ascii="ＭＳ ゴシック" w:eastAsia="ＭＳ ゴシック" w:hAnsi="ＭＳ ゴシック" w:hint="eastAsia"/>
                <w:szCs w:val="24"/>
              </w:rPr>
              <w:t>管理部</w:t>
            </w:r>
          </w:p>
        </w:tc>
      </w:tr>
      <w:tr w:rsidR="000101B1" w:rsidRPr="000101B1" w14:paraId="1FC4DD0A" w14:textId="77777777" w:rsidTr="008A34B8">
        <w:trPr>
          <w:trHeight w:val="340"/>
          <w:jc w:val="center"/>
        </w:trPr>
        <w:tc>
          <w:tcPr>
            <w:tcW w:w="2467" w:type="dxa"/>
            <w:vAlign w:val="center"/>
          </w:tcPr>
          <w:p w14:paraId="5E4F23D1"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制定日</w:t>
            </w:r>
          </w:p>
        </w:tc>
        <w:tc>
          <w:tcPr>
            <w:tcW w:w="3061" w:type="dxa"/>
            <w:vAlign w:val="center"/>
          </w:tcPr>
          <w:p w14:paraId="1D1DEAC9" w14:textId="4FB8EAB0" w:rsidR="000101B1" w:rsidRPr="000101B1" w:rsidRDefault="000101B1" w:rsidP="008A34B8">
            <w:pPr>
              <w:widowControl/>
              <w:ind w:leftChars="50" w:left="135"/>
              <w:rPr>
                <w:rFonts w:ascii="ＭＳ ゴシック" w:eastAsia="ＭＳ ゴシック" w:hAnsi="ＭＳ ゴシック"/>
                <w:szCs w:val="24"/>
              </w:rPr>
            </w:pPr>
            <w:r w:rsidRPr="000101B1">
              <w:rPr>
                <w:rFonts w:ascii="ＭＳ ゴシック" w:eastAsia="ＭＳ ゴシック" w:hAnsi="ＭＳ ゴシック" w:hint="eastAsia"/>
                <w:szCs w:val="24"/>
              </w:rPr>
              <w:t>20</w:t>
            </w:r>
            <w:r>
              <w:rPr>
                <w:rFonts w:ascii="ＭＳ ゴシック" w:eastAsia="ＭＳ ゴシック" w:hAnsi="ＭＳ ゴシック"/>
                <w:szCs w:val="24"/>
              </w:rPr>
              <w:t>21</w:t>
            </w:r>
            <w:r w:rsidRPr="000101B1">
              <w:rPr>
                <w:rFonts w:ascii="ＭＳ ゴシック" w:eastAsia="ＭＳ ゴシック" w:hAnsi="ＭＳ ゴシック" w:hint="eastAsia"/>
                <w:szCs w:val="24"/>
              </w:rPr>
              <w:t>年</w:t>
            </w:r>
            <w:r w:rsidR="00507FC9">
              <w:rPr>
                <w:rFonts w:ascii="ＭＳ ゴシック" w:eastAsia="ＭＳ ゴシック" w:hAnsi="ＭＳ ゴシック" w:hint="eastAsia"/>
                <w:szCs w:val="24"/>
              </w:rPr>
              <w:t>4</w:t>
            </w:r>
            <w:r w:rsidRPr="000101B1">
              <w:rPr>
                <w:rFonts w:ascii="ＭＳ ゴシック" w:eastAsia="ＭＳ ゴシック" w:hAnsi="ＭＳ ゴシック" w:hint="eastAsia"/>
                <w:szCs w:val="24"/>
              </w:rPr>
              <w:t>月</w:t>
            </w:r>
            <w:r w:rsidR="00507FC9">
              <w:rPr>
                <w:rFonts w:ascii="ＭＳ ゴシック" w:eastAsia="ＭＳ ゴシック" w:hAnsi="ＭＳ ゴシック" w:hint="eastAsia"/>
                <w:szCs w:val="24"/>
              </w:rPr>
              <w:t>19</w:t>
            </w:r>
            <w:r w:rsidRPr="000101B1">
              <w:rPr>
                <w:rFonts w:ascii="ＭＳ ゴシック" w:eastAsia="ＭＳ ゴシック" w:hAnsi="ＭＳ ゴシック" w:hint="eastAsia"/>
                <w:szCs w:val="24"/>
              </w:rPr>
              <w:t>日</w:t>
            </w:r>
          </w:p>
        </w:tc>
      </w:tr>
      <w:tr w:rsidR="000101B1" w:rsidRPr="000101B1" w14:paraId="4BB15132" w14:textId="77777777" w:rsidTr="008A34B8">
        <w:trPr>
          <w:trHeight w:val="340"/>
          <w:jc w:val="center"/>
        </w:trPr>
        <w:tc>
          <w:tcPr>
            <w:tcW w:w="2467" w:type="dxa"/>
            <w:vAlign w:val="center"/>
          </w:tcPr>
          <w:p w14:paraId="5E608F10"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改定日</w:t>
            </w:r>
          </w:p>
        </w:tc>
        <w:tc>
          <w:tcPr>
            <w:tcW w:w="3061" w:type="dxa"/>
            <w:vAlign w:val="center"/>
          </w:tcPr>
          <w:p w14:paraId="395D4F20" w14:textId="041034D0" w:rsidR="000101B1" w:rsidRPr="000101B1" w:rsidRDefault="000101B1" w:rsidP="00507FC9">
            <w:pPr>
              <w:widowControl/>
              <w:ind w:leftChars="50" w:left="135"/>
              <w:rPr>
                <w:rFonts w:ascii="ＭＳ ゴシック" w:eastAsia="ＭＳ ゴシック" w:hAnsi="ＭＳ ゴシック"/>
                <w:szCs w:val="24"/>
              </w:rPr>
            </w:pPr>
          </w:p>
        </w:tc>
      </w:tr>
      <w:tr w:rsidR="000101B1" w:rsidRPr="000101B1" w14:paraId="1BEB8A42" w14:textId="77777777" w:rsidTr="008A34B8">
        <w:trPr>
          <w:trHeight w:val="340"/>
          <w:jc w:val="center"/>
        </w:trPr>
        <w:tc>
          <w:tcPr>
            <w:tcW w:w="2467" w:type="dxa"/>
            <w:vAlign w:val="center"/>
          </w:tcPr>
          <w:p w14:paraId="6C84CB72"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版数</w:t>
            </w:r>
          </w:p>
        </w:tc>
        <w:tc>
          <w:tcPr>
            <w:tcW w:w="3061" w:type="dxa"/>
            <w:vAlign w:val="center"/>
          </w:tcPr>
          <w:p w14:paraId="3D7DBDEA" w14:textId="77777777" w:rsidR="000101B1" w:rsidRPr="000101B1" w:rsidRDefault="000101B1" w:rsidP="008A34B8">
            <w:pPr>
              <w:widowControl/>
              <w:ind w:leftChars="50" w:left="135"/>
              <w:rPr>
                <w:rFonts w:ascii="ＭＳ ゴシック" w:eastAsia="ＭＳ ゴシック" w:hAnsi="ＭＳ ゴシック"/>
                <w:szCs w:val="24"/>
              </w:rPr>
            </w:pPr>
            <w:r w:rsidRPr="000101B1">
              <w:rPr>
                <w:rFonts w:ascii="ＭＳ ゴシック" w:eastAsia="ＭＳ ゴシック" w:hAnsi="ＭＳ ゴシック"/>
                <w:szCs w:val="24"/>
              </w:rPr>
              <w:t>第</w:t>
            </w:r>
            <w:r w:rsidRPr="000101B1">
              <w:rPr>
                <w:rFonts w:ascii="ＭＳ ゴシック" w:eastAsia="ＭＳ ゴシック" w:hAnsi="ＭＳ ゴシック" w:hint="eastAsia"/>
                <w:szCs w:val="24"/>
              </w:rPr>
              <w:t>1</w:t>
            </w:r>
            <w:r w:rsidRPr="000101B1">
              <w:rPr>
                <w:rFonts w:ascii="ＭＳ ゴシック" w:eastAsia="ＭＳ ゴシック" w:hAnsi="ＭＳ ゴシック"/>
                <w:szCs w:val="24"/>
              </w:rPr>
              <w:t>版</w:t>
            </w:r>
          </w:p>
        </w:tc>
      </w:tr>
      <w:tr w:rsidR="000101B1" w:rsidRPr="000101B1" w14:paraId="4EFB8CE2" w14:textId="77777777" w:rsidTr="008A34B8">
        <w:trPr>
          <w:trHeight w:val="340"/>
          <w:jc w:val="center"/>
        </w:trPr>
        <w:tc>
          <w:tcPr>
            <w:tcW w:w="2467" w:type="dxa"/>
            <w:vAlign w:val="center"/>
          </w:tcPr>
          <w:p w14:paraId="3623CE0F" w14:textId="77777777" w:rsidR="000101B1" w:rsidRPr="000101B1" w:rsidRDefault="000101B1" w:rsidP="008A34B8">
            <w:pPr>
              <w:widowControl/>
              <w:ind w:leftChars="150" w:left="406" w:rightChars="150" w:right="406"/>
              <w:jc w:val="distribute"/>
              <w:rPr>
                <w:rFonts w:ascii="ＭＳ ゴシック" w:eastAsia="ＭＳ ゴシック" w:hAnsi="ＭＳ ゴシック"/>
                <w:szCs w:val="24"/>
              </w:rPr>
            </w:pPr>
            <w:r w:rsidRPr="000101B1">
              <w:rPr>
                <w:rFonts w:ascii="ＭＳ ゴシック" w:eastAsia="ＭＳ ゴシック" w:hAnsi="ＭＳ ゴシック" w:hint="eastAsia"/>
                <w:szCs w:val="24"/>
              </w:rPr>
              <w:t>適用範囲</w:t>
            </w:r>
          </w:p>
        </w:tc>
        <w:tc>
          <w:tcPr>
            <w:tcW w:w="3061" w:type="dxa"/>
            <w:vAlign w:val="center"/>
          </w:tcPr>
          <w:p w14:paraId="16A4E540" w14:textId="77777777" w:rsidR="000101B1" w:rsidRPr="000101B1" w:rsidRDefault="000101B1" w:rsidP="008A34B8">
            <w:pPr>
              <w:widowControl/>
              <w:ind w:leftChars="50" w:left="135"/>
              <w:rPr>
                <w:rFonts w:ascii="ＭＳ ゴシック" w:eastAsia="ＭＳ ゴシック" w:hAnsi="ＭＳ ゴシック"/>
                <w:szCs w:val="24"/>
              </w:rPr>
            </w:pPr>
            <w:r w:rsidRPr="000101B1">
              <w:rPr>
                <w:rFonts w:ascii="ＭＳ ゴシック" w:eastAsia="ＭＳ ゴシック" w:hAnsi="ＭＳ ゴシック" w:hint="eastAsia"/>
                <w:szCs w:val="24"/>
              </w:rPr>
              <w:t>全社員</w:t>
            </w:r>
          </w:p>
        </w:tc>
      </w:tr>
    </w:tbl>
    <w:p w14:paraId="2358A2A1" w14:textId="77777777" w:rsidR="000101B1" w:rsidRPr="000101B1" w:rsidRDefault="000101B1" w:rsidP="000101B1">
      <w:pPr>
        <w:widowControl/>
        <w:jc w:val="left"/>
        <w:rPr>
          <w:rFonts w:ascii="ＭＳ ゴシック" w:eastAsia="ＭＳ ゴシック" w:hAnsi="ＭＳ ゴシック"/>
          <w:szCs w:val="24"/>
        </w:rPr>
      </w:pPr>
      <w:r w:rsidRPr="000101B1">
        <w:rPr>
          <w:rFonts w:ascii="ＭＳ ゴシック" w:eastAsia="ＭＳ ゴシック" w:hAnsi="ＭＳ ゴシック"/>
          <w:szCs w:val="24"/>
        </w:rPr>
        <w:br w:type="page"/>
      </w:r>
    </w:p>
    <w:p w14:paraId="1A63BCE1"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lastRenderedPageBreak/>
        <w:t>第 1</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総則</w:t>
      </w:r>
    </w:p>
    <w:p w14:paraId="7F51B4AA"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p>
    <w:p w14:paraId="7C8CCF0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 1</w:t>
      </w:r>
      <w:r w:rsidRPr="000101B1">
        <w:rPr>
          <w:rFonts w:ascii="ＭＳ ゴシック" w:eastAsia="ＭＳ ゴシック" w:hAnsi="ＭＳ ゴシック"/>
          <w:szCs w:val="24"/>
        </w:rPr>
        <w:t xml:space="preserve"> </w:t>
      </w:r>
      <w:r w:rsidRPr="000101B1">
        <w:rPr>
          <w:rFonts w:ascii="ＭＳ ゴシック" w:eastAsia="ＭＳ ゴシック" w:hAnsi="ＭＳ ゴシック" w:hint="eastAsia"/>
          <w:szCs w:val="24"/>
        </w:rPr>
        <w:t>条　(目的)</w:t>
      </w:r>
    </w:p>
    <w:p w14:paraId="40EFF1C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この運営ルールは、「経理事務取扱要綱」に基づき、決算会計に関する取扱いを定めたものである。</w:t>
      </w:r>
    </w:p>
    <w:p w14:paraId="501B20DB"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BC848E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 2</w:t>
      </w:r>
      <w:r w:rsidRPr="000101B1">
        <w:rPr>
          <w:rFonts w:ascii="ＭＳ ゴシック" w:eastAsia="ＭＳ ゴシック" w:hAnsi="ＭＳ ゴシック"/>
          <w:szCs w:val="24"/>
        </w:rPr>
        <w:t xml:space="preserve"> </w:t>
      </w:r>
      <w:r w:rsidRPr="000101B1">
        <w:rPr>
          <w:rFonts w:ascii="ＭＳ ゴシック" w:eastAsia="ＭＳ ゴシック" w:hAnsi="ＭＳ ゴシック" w:hint="eastAsia"/>
          <w:szCs w:val="24"/>
        </w:rPr>
        <w:t>条　(決算手続の範囲)</w:t>
      </w:r>
    </w:p>
    <w:p w14:paraId="0DA27DFF"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この運営ルールの対象とする決算手続は、「経理事務取扱要綱」の規定に従い、次のものをいう。</w:t>
      </w:r>
    </w:p>
    <w:p w14:paraId="2DC86792"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(1)在庫確認手続</w:t>
      </w:r>
    </w:p>
    <w:p w14:paraId="7C3A0DE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(2)資産負債の評価</w:t>
      </w:r>
    </w:p>
    <w:p w14:paraId="5A3423C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(3)減価償却費の計上</w:t>
      </w:r>
    </w:p>
    <w:p w14:paraId="1D4E0AAD"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(4)費用収益の見越し・繰延処理</w:t>
      </w:r>
    </w:p>
    <w:p w14:paraId="55FC3FD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(5)引当金の計上</w:t>
      </w:r>
    </w:p>
    <w:p w14:paraId="492A601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(6)原価計算</w:t>
      </w:r>
    </w:p>
    <w:p w14:paraId="79B540A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(7)税効果処理</w:t>
      </w:r>
    </w:p>
    <w:p w14:paraId="397E0888"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(8)連結決算</w:t>
      </w:r>
    </w:p>
    <w:p w14:paraId="331A165C"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AD88FCE"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3 </w:t>
      </w:r>
      <w:r w:rsidRPr="000101B1">
        <w:rPr>
          <w:rFonts w:ascii="ＭＳ ゴシック" w:eastAsia="ＭＳ ゴシック" w:hAnsi="ＭＳ ゴシック" w:hint="eastAsia"/>
          <w:szCs w:val="24"/>
        </w:rPr>
        <w:t>条　(決算担当者)</w:t>
      </w:r>
    </w:p>
    <w:p w14:paraId="31119725"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1.</w:t>
      </w:r>
      <w:r w:rsidRPr="000101B1">
        <w:rPr>
          <w:rFonts w:hAnsi="ＭＳ 明朝" w:hint="eastAsia"/>
        </w:rPr>
        <w:t xml:space="preserve"> </w:t>
      </w:r>
      <w:r w:rsidRPr="000101B1">
        <w:rPr>
          <w:rFonts w:hAnsi="ＭＳ 明朝" w:hint="eastAsia"/>
          <w:szCs w:val="24"/>
        </w:rPr>
        <w:t>統括責任者は、決算担当者を指揮監督するとともに、決算手続が適切に行われることに責任を負う。</w:t>
      </w:r>
    </w:p>
    <w:p w14:paraId="0AE040F5" w14:textId="77777777" w:rsidR="000101B1" w:rsidRPr="000101B1" w:rsidRDefault="000101B1" w:rsidP="000101B1">
      <w:pPr>
        <w:tabs>
          <w:tab w:val="left" w:pos="1446"/>
          <w:tab w:val="left" w:pos="1928"/>
        </w:tabs>
        <w:autoSpaceDE w:val="0"/>
        <w:ind w:leftChars="450" w:left="1490" w:hangingChars="100" w:hanging="271"/>
        <w:jc w:val="left"/>
        <w:rPr>
          <w:rFonts w:ascii="ＭＳ ゴシック" w:eastAsia="ＭＳ ゴシック" w:hAnsi="ＭＳ ゴシック"/>
          <w:szCs w:val="24"/>
        </w:rPr>
      </w:pPr>
      <w:r w:rsidRPr="000101B1">
        <w:rPr>
          <w:rFonts w:hAnsi="ＭＳ 明朝" w:hint="eastAsia"/>
          <w:szCs w:val="24"/>
        </w:rPr>
        <w:t>2.決算担当者は、この運営ルールに従い決算手続を実行するものをいう。</w:t>
      </w:r>
    </w:p>
    <w:p w14:paraId="5828BAA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D8DE66C"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7CD8ED5"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2</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在庫確認手続</w:t>
      </w:r>
    </w:p>
    <w:p w14:paraId="63ED53CC"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2B4B1D2"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4 </w:t>
      </w:r>
      <w:r w:rsidRPr="000101B1">
        <w:rPr>
          <w:rFonts w:ascii="ＭＳ ゴシック" w:eastAsia="ＭＳ ゴシック" w:hAnsi="ＭＳ ゴシック" w:hint="eastAsia"/>
          <w:szCs w:val="24"/>
        </w:rPr>
        <w:t>条　(在庫確認手続)</w:t>
      </w:r>
    </w:p>
    <w:p w14:paraId="091690A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決算手続における在庫確認手続は次のとおりである。</w:t>
      </w:r>
    </w:p>
    <w:p w14:paraId="41B8BF9F"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(1)たな卸資産の実地棚卸</w:t>
      </w:r>
    </w:p>
    <w:p w14:paraId="679C05E2"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(2)販売用不動産の計上</w:t>
      </w:r>
    </w:p>
    <w:p w14:paraId="679AA81C"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330216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5 </w:t>
      </w:r>
      <w:r w:rsidRPr="000101B1">
        <w:rPr>
          <w:rFonts w:ascii="ＭＳ ゴシック" w:eastAsia="ＭＳ ゴシック" w:hAnsi="ＭＳ ゴシック" w:hint="eastAsia"/>
          <w:szCs w:val="24"/>
        </w:rPr>
        <w:t>条　(たな卸資産の実地棚卸)</w:t>
      </w:r>
    </w:p>
    <w:p w14:paraId="587F119C" w14:textId="77777777" w:rsidR="000101B1" w:rsidRPr="000101B1" w:rsidRDefault="000101B1" w:rsidP="000101B1">
      <w:pPr>
        <w:tabs>
          <w:tab w:val="left" w:pos="1446"/>
          <w:tab w:val="left" w:pos="1928"/>
        </w:tabs>
        <w:autoSpaceDE w:val="0"/>
        <w:ind w:leftChars="450" w:left="1219"/>
        <w:jc w:val="left"/>
        <w:rPr>
          <w:rFonts w:ascii="ＭＳ ゴシック" w:eastAsia="ＭＳ ゴシック" w:hAnsi="ＭＳ ゴシック"/>
          <w:szCs w:val="24"/>
        </w:rPr>
      </w:pPr>
      <w:r w:rsidRPr="000101B1">
        <w:rPr>
          <w:rFonts w:hAnsi="ＭＳ 明朝" w:hint="eastAsia"/>
          <w:szCs w:val="24"/>
        </w:rPr>
        <w:t>四半期末および期末における開発事業支出金および未成工事支出金ならびに販売用不動産の案件別一覧表を作成し、その一覧表に記載されている案件が、残高として残る妥当性を確認し、かつ、それに不足分</w:t>
      </w:r>
      <w:r w:rsidRPr="000101B1">
        <w:rPr>
          <w:rFonts w:hAnsi="ＭＳ 明朝" w:hint="eastAsia"/>
          <w:szCs w:val="24"/>
        </w:rPr>
        <w:lastRenderedPageBreak/>
        <w:t>がないことを確認し、その結果を統括責任者に報告しなければならない。</w:t>
      </w:r>
    </w:p>
    <w:p w14:paraId="1DD384A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6950BF4"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6 </w:t>
      </w:r>
      <w:r w:rsidRPr="000101B1">
        <w:rPr>
          <w:rFonts w:ascii="ＭＳ ゴシック" w:eastAsia="ＭＳ ゴシック" w:hAnsi="ＭＳ ゴシック" w:hint="eastAsia"/>
          <w:szCs w:val="24"/>
        </w:rPr>
        <w:t>条　(販売用不動産の計上)</w:t>
      </w:r>
    </w:p>
    <w:p w14:paraId="2EF87133"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販売用不動産の計上は、当該工事の完成を証する書類をもって把握し、未成工事支出金、開発事業支出金等より振替処理をもって計上する。</w:t>
      </w:r>
    </w:p>
    <w:p w14:paraId="0C1B780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4D8C830"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B84A7E3"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3</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資産負債の評価</w:t>
      </w:r>
    </w:p>
    <w:p w14:paraId="0B299020"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48ADB3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7 </w:t>
      </w:r>
      <w:r w:rsidRPr="000101B1">
        <w:rPr>
          <w:rFonts w:ascii="ＭＳ ゴシック" w:eastAsia="ＭＳ ゴシック" w:hAnsi="ＭＳ ゴシック" w:hint="eastAsia"/>
          <w:szCs w:val="24"/>
        </w:rPr>
        <w:t>条　(資産の評価手続)</w:t>
      </w:r>
    </w:p>
    <w:p w14:paraId="6E09952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決算手続における資産の評価は、次のとおりである。</w:t>
      </w:r>
    </w:p>
    <w:p w14:paraId="00AC5C94"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(1)有価証券の評価</w:t>
      </w:r>
    </w:p>
    <w:p w14:paraId="6F68580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(2)ゴルフ会員権等の評価</w:t>
      </w:r>
    </w:p>
    <w:p w14:paraId="11060294"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(3)たな卸資産の評価</w:t>
      </w:r>
    </w:p>
    <w:p w14:paraId="2E9D945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E50F717"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8 </w:t>
      </w:r>
      <w:r w:rsidRPr="000101B1">
        <w:rPr>
          <w:rFonts w:ascii="ＭＳ ゴシック" w:eastAsia="ＭＳ ゴシック" w:hAnsi="ＭＳ ゴシック" w:hint="eastAsia"/>
          <w:szCs w:val="24"/>
        </w:rPr>
        <w:t>条　(有価証券の評価)</w:t>
      </w:r>
    </w:p>
    <w:p w14:paraId="3324289D"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有価証券の評価基準および評価方法は次のとおりとする。</w:t>
      </w:r>
    </w:p>
    <w:p w14:paraId="0D36E13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(1)満期保有目的の債券　　償却原価法</w:t>
      </w:r>
    </w:p>
    <w:p w14:paraId="0D6B783E"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(2)その他有価証券</w:t>
      </w:r>
    </w:p>
    <w:p w14:paraId="6EF093E6" w14:textId="77777777" w:rsidR="000101B1" w:rsidRPr="000101B1" w:rsidRDefault="000101B1" w:rsidP="000101B1">
      <w:pPr>
        <w:tabs>
          <w:tab w:val="left" w:pos="1446"/>
          <w:tab w:val="left" w:pos="1928"/>
        </w:tabs>
        <w:autoSpaceDE w:val="0"/>
        <w:ind w:leftChars="600" w:left="4606" w:hangingChars="1100" w:hanging="2980"/>
        <w:jc w:val="left"/>
        <w:rPr>
          <w:rFonts w:hAnsi="ＭＳ 明朝"/>
          <w:szCs w:val="24"/>
        </w:rPr>
      </w:pPr>
      <w:r w:rsidRPr="000101B1">
        <w:rPr>
          <w:rFonts w:hAnsi="ＭＳ 明朝" w:hint="eastAsia"/>
          <w:szCs w:val="24"/>
        </w:rPr>
        <w:t>①時価のあるもの　　　決算日の市場価格等に基づく時価法（評価差額は全部純資産直入法により処理し、売却原価は移動平均法により算定）</w:t>
      </w:r>
    </w:p>
    <w:p w14:paraId="1E66D34C"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②時価のないもの　　　移動平均法による原価法</w:t>
      </w:r>
    </w:p>
    <w:p w14:paraId="69C4BE15"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(3)子会社株式　　　　　　移動平均法による原価法</w:t>
      </w:r>
    </w:p>
    <w:p w14:paraId="3BBD23A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20E0A25"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 xml:space="preserve">第 </w:t>
      </w:r>
      <w:r w:rsidRPr="000101B1">
        <w:rPr>
          <w:rFonts w:ascii="ＭＳ ゴシック" w:eastAsia="ＭＳ ゴシック" w:hAnsi="ＭＳ ゴシック"/>
          <w:szCs w:val="24"/>
        </w:rPr>
        <w:t xml:space="preserve">9 </w:t>
      </w:r>
      <w:r w:rsidRPr="000101B1">
        <w:rPr>
          <w:rFonts w:ascii="ＭＳ ゴシック" w:eastAsia="ＭＳ ゴシック" w:hAnsi="ＭＳ ゴシック" w:hint="eastAsia"/>
          <w:szCs w:val="24"/>
        </w:rPr>
        <w:t>条　(有価証券の著しい時価または実質価額の下落)</w:t>
      </w:r>
    </w:p>
    <w:p w14:paraId="4FA82207" w14:textId="77777777" w:rsidR="000101B1" w:rsidRPr="000101B1" w:rsidRDefault="000101B1" w:rsidP="000101B1">
      <w:pPr>
        <w:tabs>
          <w:tab w:val="left" w:pos="1446"/>
          <w:tab w:val="left" w:pos="1928"/>
        </w:tabs>
        <w:autoSpaceDE w:val="0"/>
        <w:adjustRightInd w:val="0"/>
        <w:ind w:leftChars="450" w:left="1490" w:hangingChars="100" w:hanging="271"/>
        <w:jc w:val="left"/>
        <w:rPr>
          <w:rFonts w:hAnsi="ＭＳ 明朝"/>
          <w:szCs w:val="24"/>
        </w:rPr>
      </w:pPr>
      <w:r w:rsidRPr="000101B1">
        <w:rPr>
          <w:rFonts w:hAnsi="ＭＳ 明朝" w:hint="eastAsia"/>
          <w:szCs w:val="24"/>
        </w:rPr>
        <w:t>1.前条の規定に係わらず、有価証券の時価または実質価額が著しく下落したときは、次のとおり評価減を行う。</w:t>
      </w:r>
    </w:p>
    <w:p w14:paraId="002E58AA" w14:textId="77777777" w:rsidR="000101B1" w:rsidRPr="000101B1" w:rsidRDefault="000101B1" w:rsidP="000101B1">
      <w:pPr>
        <w:tabs>
          <w:tab w:val="left" w:pos="1446"/>
          <w:tab w:val="left" w:pos="1928"/>
        </w:tabs>
        <w:autoSpaceDE w:val="0"/>
        <w:adjustRightInd w:val="0"/>
        <w:ind w:leftChars="550" w:left="1761" w:hangingChars="100" w:hanging="271"/>
        <w:jc w:val="left"/>
        <w:rPr>
          <w:rFonts w:hAnsi="ＭＳ 明朝"/>
          <w:szCs w:val="24"/>
        </w:rPr>
      </w:pPr>
      <w:r w:rsidRPr="000101B1">
        <w:rPr>
          <w:rFonts w:hAnsi="ＭＳ 明朝" w:hint="eastAsia"/>
          <w:szCs w:val="24"/>
        </w:rPr>
        <w:t>(1)時価のあるもの　　　時価額まで評価減を行う</w:t>
      </w:r>
    </w:p>
    <w:p w14:paraId="0D0C1760" w14:textId="77777777" w:rsidR="000101B1" w:rsidRPr="000101B1" w:rsidRDefault="000101B1" w:rsidP="000101B1">
      <w:pPr>
        <w:tabs>
          <w:tab w:val="left" w:pos="1446"/>
          <w:tab w:val="left" w:pos="1928"/>
        </w:tabs>
        <w:autoSpaceDE w:val="0"/>
        <w:adjustRightInd w:val="0"/>
        <w:ind w:leftChars="550" w:left="1761" w:hangingChars="100" w:hanging="271"/>
        <w:jc w:val="left"/>
        <w:rPr>
          <w:rFonts w:hAnsi="ＭＳ 明朝"/>
          <w:szCs w:val="24"/>
        </w:rPr>
      </w:pPr>
      <w:r w:rsidRPr="000101B1">
        <w:rPr>
          <w:rFonts w:hAnsi="ＭＳ 明朝" w:hint="eastAsia"/>
          <w:szCs w:val="24"/>
        </w:rPr>
        <w:t>(2)時価のないもの　　　実質価額まで評価減を行う</w:t>
      </w:r>
    </w:p>
    <w:p w14:paraId="23E9786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2.著しい下落、時価等は次のとおりとする。</w:t>
      </w:r>
    </w:p>
    <w:p w14:paraId="4EBC9D96"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(1)著しい下落</w:t>
      </w:r>
    </w:p>
    <w:p w14:paraId="34F66B75" w14:textId="77777777" w:rsidR="000101B1" w:rsidRPr="000101B1" w:rsidRDefault="000101B1" w:rsidP="000101B1">
      <w:pPr>
        <w:tabs>
          <w:tab w:val="left" w:pos="1446"/>
          <w:tab w:val="left" w:pos="1928"/>
        </w:tabs>
        <w:autoSpaceDE w:val="0"/>
        <w:ind w:leftChars="700" w:left="1897"/>
        <w:jc w:val="left"/>
        <w:rPr>
          <w:rFonts w:hAnsi="ＭＳ 明朝"/>
          <w:szCs w:val="24"/>
        </w:rPr>
      </w:pPr>
      <w:r w:rsidRPr="000101B1">
        <w:rPr>
          <w:rFonts w:hAnsi="ＭＳ 明朝" w:hint="eastAsia"/>
          <w:szCs w:val="24"/>
        </w:rPr>
        <w:t>著しい下落とは、時価または実質価額が帳簿価額の50％を下回ったときをいう。なお、回復可能性があると認められるときは、著しい下落とはしない。</w:t>
      </w:r>
    </w:p>
    <w:p w14:paraId="6C852F22"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lastRenderedPageBreak/>
        <w:t>(2)時価</w:t>
      </w:r>
    </w:p>
    <w:p w14:paraId="4C6E1E11" w14:textId="77777777" w:rsidR="000101B1" w:rsidRPr="000101B1" w:rsidRDefault="000101B1" w:rsidP="000101B1">
      <w:pPr>
        <w:tabs>
          <w:tab w:val="left" w:pos="1446"/>
          <w:tab w:val="left" w:pos="1928"/>
        </w:tabs>
        <w:autoSpaceDE w:val="0"/>
        <w:ind w:leftChars="700" w:left="1897"/>
        <w:jc w:val="left"/>
        <w:rPr>
          <w:rFonts w:hAnsi="ＭＳ 明朝"/>
          <w:szCs w:val="24"/>
        </w:rPr>
      </w:pPr>
      <w:r w:rsidRPr="000101B1">
        <w:rPr>
          <w:rFonts w:hAnsi="ＭＳ 明朝" w:hint="eastAsia"/>
          <w:szCs w:val="24"/>
        </w:rPr>
        <w:t>期末時点の取引所終値</w:t>
      </w:r>
    </w:p>
    <w:p w14:paraId="37844F9D"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(3)実質価額</w:t>
      </w:r>
    </w:p>
    <w:p w14:paraId="69EF00EA" w14:textId="77777777" w:rsidR="000101B1" w:rsidRPr="000101B1" w:rsidRDefault="000101B1" w:rsidP="000101B1">
      <w:pPr>
        <w:tabs>
          <w:tab w:val="left" w:pos="1446"/>
          <w:tab w:val="left" w:pos="1928"/>
        </w:tabs>
        <w:autoSpaceDE w:val="0"/>
        <w:ind w:leftChars="700" w:left="1897"/>
        <w:jc w:val="left"/>
        <w:rPr>
          <w:rFonts w:hAnsi="ＭＳ 明朝"/>
          <w:szCs w:val="24"/>
        </w:rPr>
      </w:pPr>
      <w:r w:rsidRPr="000101B1">
        <w:rPr>
          <w:rFonts w:hAnsi="ＭＳ 明朝" w:hint="eastAsia"/>
          <w:szCs w:val="24"/>
        </w:rPr>
        <w:t>1株あたり純資産価額</w:t>
      </w:r>
    </w:p>
    <w:p w14:paraId="11030AC5" w14:textId="77777777" w:rsidR="000101B1" w:rsidRPr="000101B1" w:rsidRDefault="000101B1" w:rsidP="000101B1">
      <w:pPr>
        <w:tabs>
          <w:tab w:val="left" w:pos="1446"/>
          <w:tab w:val="left" w:pos="1928"/>
        </w:tabs>
        <w:autoSpaceDE w:val="0"/>
        <w:ind w:leftChars="450" w:left="1490" w:hangingChars="100" w:hanging="271"/>
        <w:jc w:val="left"/>
        <w:rPr>
          <w:rFonts w:ascii="ＭＳ ゴシック" w:eastAsia="ＭＳ ゴシック" w:hAnsi="ＭＳ ゴシック"/>
          <w:szCs w:val="24"/>
        </w:rPr>
      </w:pPr>
      <w:r w:rsidRPr="000101B1">
        <w:rPr>
          <w:rFonts w:hAnsi="ＭＳ 明朝" w:hint="eastAsia"/>
          <w:szCs w:val="24"/>
        </w:rPr>
        <w:t>3.市場価格のある有価証券で期末時価の帳簿価額に対する下落率が30％超かつ50％以下である場合において、当該有価証券の過去1年の各四半期中の下落率が30％超かつ50％以下のときは、期末における時価額まで評価減を行う。なお、上記において、当該有価証券が株式であるときは、当該株式の直近2期における期末決算が2期連続赤字に該当するときに限り、期末における時価額まで評価減を行う。</w:t>
      </w:r>
    </w:p>
    <w:p w14:paraId="3CC0E16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E945BA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10</w:t>
      </w:r>
      <w:r w:rsidRPr="000101B1">
        <w:rPr>
          <w:rFonts w:ascii="ＭＳ ゴシック" w:eastAsia="ＭＳ ゴシック" w:hAnsi="ＭＳ ゴシック" w:hint="eastAsia"/>
          <w:szCs w:val="24"/>
        </w:rPr>
        <w:t>条　(ゴルフ会員権の評価)</w:t>
      </w:r>
    </w:p>
    <w:p w14:paraId="2C8DD038" w14:textId="77777777" w:rsidR="000101B1" w:rsidRPr="000101B1" w:rsidRDefault="000101B1" w:rsidP="000101B1">
      <w:pPr>
        <w:autoSpaceDE w:val="0"/>
        <w:ind w:leftChars="450" w:left="1219"/>
        <w:jc w:val="left"/>
        <w:rPr>
          <w:rFonts w:hAnsi="ＭＳ 明朝"/>
          <w:szCs w:val="24"/>
        </w:rPr>
      </w:pPr>
      <w:r w:rsidRPr="000101B1">
        <w:rPr>
          <w:rFonts w:hAnsi="ＭＳ 明朝" w:hint="eastAsia"/>
          <w:szCs w:val="24"/>
        </w:rPr>
        <w:t>1.ゴルフ会員権の評価は、次のとおりとする。</w:t>
      </w:r>
    </w:p>
    <w:tbl>
      <w:tblPr>
        <w:tblW w:w="8387"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96"/>
        <w:gridCol w:w="4065"/>
      </w:tblGrid>
      <w:tr w:rsidR="000101B1" w:rsidRPr="000101B1" w14:paraId="7331093C" w14:textId="77777777" w:rsidTr="0049608C">
        <w:trPr>
          <w:trHeight w:val="347"/>
        </w:trPr>
        <w:tc>
          <w:tcPr>
            <w:tcW w:w="2126" w:type="dxa"/>
            <w:shd w:val="clear" w:color="auto" w:fill="auto"/>
            <w:vAlign w:val="center"/>
          </w:tcPr>
          <w:p w14:paraId="5779BC0D" w14:textId="77777777" w:rsidR="000101B1" w:rsidRPr="000101B1" w:rsidRDefault="000101B1" w:rsidP="008A34B8">
            <w:pPr>
              <w:autoSpaceDE w:val="0"/>
              <w:jc w:val="center"/>
              <w:rPr>
                <w:rFonts w:hAnsi="ＭＳ 明朝"/>
                <w:szCs w:val="24"/>
              </w:rPr>
            </w:pPr>
            <w:r w:rsidRPr="000101B1">
              <w:rPr>
                <w:rFonts w:hAnsi="ＭＳ 明朝"/>
                <w:szCs w:val="24"/>
              </w:rPr>
              <w:t>項目</w:t>
            </w:r>
          </w:p>
        </w:tc>
        <w:tc>
          <w:tcPr>
            <w:tcW w:w="6261" w:type="dxa"/>
            <w:gridSpan w:val="2"/>
            <w:shd w:val="clear" w:color="auto" w:fill="auto"/>
            <w:vAlign w:val="center"/>
          </w:tcPr>
          <w:p w14:paraId="7430120A" w14:textId="77777777" w:rsidR="000101B1" w:rsidRPr="000101B1" w:rsidRDefault="000101B1" w:rsidP="008A34B8">
            <w:pPr>
              <w:autoSpaceDE w:val="0"/>
              <w:jc w:val="center"/>
              <w:rPr>
                <w:rFonts w:hAnsi="ＭＳ 明朝"/>
                <w:szCs w:val="24"/>
              </w:rPr>
            </w:pPr>
            <w:r w:rsidRPr="000101B1">
              <w:rPr>
                <w:rFonts w:hAnsi="ＭＳ 明朝"/>
                <w:szCs w:val="24"/>
              </w:rPr>
              <w:t>会計処理</w:t>
            </w:r>
          </w:p>
        </w:tc>
      </w:tr>
      <w:tr w:rsidR="000101B1" w:rsidRPr="000101B1" w14:paraId="589E6F8D" w14:textId="77777777" w:rsidTr="0049608C">
        <w:trPr>
          <w:trHeight w:val="821"/>
        </w:trPr>
        <w:tc>
          <w:tcPr>
            <w:tcW w:w="2126" w:type="dxa"/>
            <w:vMerge w:val="restart"/>
            <w:shd w:val="clear" w:color="auto" w:fill="auto"/>
          </w:tcPr>
          <w:p w14:paraId="3B3C2986" w14:textId="77777777" w:rsidR="000101B1" w:rsidRPr="000101B1" w:rsidRDefault="000101B1" w:rsidP="008A34B8">
            <w:pPr>
              <w:autoSpaceDE w:val="0"/>
              <w:jc w:val="left"/>
              <w:rPr>
                <w:rFonts w:hAnsi="ＭＳ 明朝"/>
                <w:szCs w:val="24"/>
              </w:rPr>
            </w:pPr>
            <w:r w:rsidRPr="000101B1">
              <w:rPr>
                <w:rFonts w:hAnsi="ＭＳ 明朝"/>
                <w:szCs w:val="24"/>
              </w:rPr>
              <w:t>時価</w:t>
            </w:r>
            <w:r w:rsidRPr="000101B1">
              <w:rPr>
                <w:rFonts w:hAnsi="ＭＳ 明朝" w:hint="eastAsia"/>
                <w:szCs w:val="24"/>
              </w:rPr>
              <w:t>が</w:t>
            </w:r>
            <w:r w:rsidRPr="000101B1">
              <w:rPr>
                <w:rFonts w:hAnsi="ＭＳ 明朝"/>
                <w:szCs w:val="24"/>
              </w:rPr>
              <w:t>あ</w:t>
            </w:r>
            <w:r w:rsidRPr="000101B1">
              <w:rPr>
                <w:rFonts w:hAnsi="ＭＳ 明朝" w:hint="eastAsia"/>
                <w:szCs w:val="24"/>
              </w:rPr>
              <w:t>る場合</w:t>
            </w:r>
          </w:p>
        </w:tc>
        <w:tc>
          <w:tcPr>
            <w:tcW w:w="2196" w:type="dxa"/>
            <w:shd w:val="clear" w:color="auto" w:fill="auto"/>
          </w:tcPr>
          <w:p w14:paraId="0E11D4B9" w14:textId="77777777" w:rsidR="000101B1" w:rsidRPr="000101B1" w:rsidRDefault="000101B1" w:rsidP="008A34B8">
            <w:pPr>
              <w:autoSpaceDE w:val="0"/>
              <w:jc w:val="left"/>
              <w:rPr>
                <w:rFonts w:hAnsi="ＭＳ 明朝"/>
                <w:szCs w:val="24"/>
              </w:rPr>
            </w:pPr>
            <w:r w:rsidRPr="000101B1">
              <w:rPr>
                <w:rFonts w:hAnsi="ＭＳ 明朝"/>
                <w:szCs w:val="24"/>
              </w:rPr>
              <w:t>株式形態</w:t>
            </w:r>
          </w:p>
        </w:tc>
        <w:tc>
          <w:tcPr>
            <w:tcW w:w="4065" w:type="dxa"/>
            <w:shd w:val="clear" w:color="auto" w:fill="auto"/>
            <w:vAlign w:val="center"/>
          </w:tcPr>
          <w:p w14:paraId="5D1A64EB" w14:textId="77777777" w:rsidR="000101B1" w:rsidRPr="000101B1" w:rsidRDefault="000101B1" w:rsidP="008A34B8">
            <w:pPr>
              <w:autoSpaceDE w:val="0"/>
              <w:jc w:val="left"/>
              <w:rPr>
                <w:rFonts w:hAnsi="ＭＳ 明朝"/>
                <w:szCs w:val="24"/>
              </w:rPr>
            </w:pPr>
            <w:r w:rsidRPr="000101B1">
              <w:rPr>
                <w:rFonts w:hAnsi="ＭＳ 明朝"/>
                <w:szCs w:val="24"/>
              </w:rPr>
              <w:t>株式形態の場合は、時価が著しく下落している場合は、回復する見込がある場合を除き</w:t>
            </w:r>
            <w:r w:rsidRPr="000101B1">
              <w:rPr>
                <w:rFonts w:hAnsi="ＭＳ 明朝" w:hint="eastAsia"/>
                <w:szCs w:val="24"/>
              </w:rPr>
              <w:t>、</w:t>
            </w:r>
            <w:r w:rsidRPr="000101B1">
              <w:rPr>
                <w:rFonts w:hAnsi="ＭＳ 明朝"/>
                <w:szCs w:val="24"/>
              </w:rPr>
              <w:t>評価損を計上する。</w:t>
            </w:r>
          </w:p>
        </w:tc>
      </w:tr>
      <w:tr w:rsidR="000101B1" w:rsidRPr="000101B1" w14:paraId="18D1C2B5" w14:textId="77777777" w:rsidTr="0049608C">
        <w:trPr>
          <w:trHeight w:val="1365"/>
        </w:trPr>
        <w:tc>
          <w:tcPr>
            <w:tcW w:w="2126" w:type="dxa"/>
            <w:vMerge/>
            <w:shd w:val="clear" w:color="auto" w:fill="auto"/>
            <w:vAlign w:val="center"/>
          </w:tcPr>
          <w:p w14:paraId="512A4871" w14:textId="77777777" w:rsidR="000101B1" w:rsidRPr="000101B1" w:rsidRDefault="000101B1" w:rsidP="008A34B8">
            <w:pPr>
              <w:autoSpaceDE w:val="0"/>
              <w:jc w:val="left"/>
              <w:rPr>
                <w:rFonts w:hAnsi="ＭＳ 明朝"/>
                <w:szCs w:val="24"/>
              </w:rPr>
            </w:pPr>
          </w:p>
        </w:tc>
        <w:tc>
          <w:tcPr>
            <w:tcW w:w="2196" w:type="dxa"/>
            <w:shd w:val="clear" w:color="auto" w:fill="auto"/>
          </w:tcPr>
          <w:p w14:paraId="5E29F72F" w14:textId="77777777" w:rsidR="000101B1" w:rsidRPr="000101B1" w:rsidRDefault="000101B1" w:rsidP="008A34B8">
            <w:pPr>
              <w:autoSpaceDE w:val="0"/>
              <w:jc w:val="left"/>
              <w:rPr>
                <w:rFonts w:hAnsi="ＭＳ 明朝"/>
                <w:szCs w:val="24"/>
              </w:rPr>
            </w:pPr>
            <w:r w:rsidRPr="000101B1">
              <w:rPr>
                <w:rFonts w:hAnsi="ＭＳ 明朝"/>
                <w:szCs w:val="24"/>
              </w:rPr>
              <w:t>預託保証金方式</w:t>
            </w:r>
          </w:p>
        </w:tc>
        <w:tc>
          <w:tcPr>
            <w:tcW w:w="4065" w:type="dxa"/>
            <w:shd w:val="clear" w:color="auto" w:fill="auto"/>
            <w:vAlign w:val="center"/>
          </w:tcPr>
          <w:p w14:paraId="0AFCA1A4" w14:textId="77777777" w:rsidR="000101B1" w:rsidRPr="000101B1" w:rsidRDefault="000101B1" w:rsidP="008A34B8">
            <w:pPr>
              <w:autoSpaceDE w:val="0"/>
              <w:jc w:val="left"/>
              <w:rPr>
                <w:rFonts w:hAnsi="ＭＳ 明朝"/>
                <w:szCs w:val="24"/>
              </w:rPr>
            </w:pPr>
            <w:r w:rsidRPr="000101B1">
              <w:rPr>
                <w:rFonts w:hAnsi="ＭＳ 明朝"/>
                <w:szCs w:val="24"/>
              </w:rPr>
              <w:t>時価の下落が預託保証金額を上回る部分については評価損を計上し、預託金額の範囲内については、預託保証金に対する、貸倒引当金を設定</w:t>
            </w:r>
            <w:r w:rsidRPr="000101B1">
              <w:rPr>
                <w:rFonts w:hAnsi="ＭＳ 明朝" w:hint="eastAsia"/>
                <w:szCs w:val="24"/>
              </w:rPr>
              <w:t>する</w:t>
            </w:r>
            <w:r w:rsidRPr="000101B1">
              <w:rPr>
                <w:rFonts w:hAnsi="ＭＳ 明朝"/>
                <w:szCs w:val="24"/>
              </w:rPr>
              <w:t>。</w:t>
            </w:r>
          </w:p>
        </w:tc>
      </w:tr>
      <w:tr w:rsidR="000101B1" w:rsidRPr="000101B1" w14:paraId="2AE7DBA3" w14:textId="77777777" w:rsidTr="0049608C">
        <w:trPr>
          <w:trHeight w:val="257"/>
        </w:trPr>
        <w:tc>
          <w:tcPr>
            <w:tcW w:w="2126" w:type="dxa"/>
            <w:vMerge w:val="restart"/>
            <w:shd w:val="clear" w:color="auto" w:fill="auto"/>
          </w:tcPr>
          <w:p w14:paraId="42276116" w14:textId="77777777" w:rsidR="000101B1" w:rsidRPr="000101B1" w:rsidRDefault="000101B1" w:rsidP="008A34B8">
            <w:pPr>
              <w:autoSpaceDE w:val="0"/>
              <w:jc w:val="left"/>
              <w:rPr>
                <w:rFonts w:hAnsi="ＭＳ 明朝"/>
                <w:szCs w:val="24"/>
              </w:rPr>
            </w:pPr>
            <w:r w:rsidRPr="000101B1">
              <w:rPr>
                <w:rFonts w:hAnsi="ＭＳ 明朝"/>
                <w:szCs w:val="24"/>
              </w:rPr>
              <w:t>時価</w:t>
            </w:r>
            <w:r w:rsidRPr="000101B1">
              <w:rPr>
                <w:rFonts w:hAnsi="ＭＳ 明朝" w:hint="eastAsia"/>
                <w:szCs w:val="24"/>
              </w:rPr>
              <w:t>がない場合</w:t>
            </w:r>
          </w:p>
        </w:tc>
        <w:tc>
          <w:tcPr>
            <w:tcW w:w="2196" w:type="dxa"/>
            <w:shd w:val="clear" w:color="auto" w:fill="auto"/>
          </w:tcPr>
          <w:p w14:paraId="7BC45FD5" w14:textId="77777777" w:rsidR="000101B1" w:rsidRPr="000101B1" w:rsidRDefault="000101B1" w:rsidP="008A34B8">
            <w:pPr>
              <w:autoSpaceDE w:val="0"/>
              <w:jc w:val="left"/>
              <w:rPr>
                <w:rFonts w:hAnsi="ＭＳ 明朝"/>
                <w:szCs w:val="24"/>
              </w:rPr>
            </w:pPr>
            <w:r w:rsidRPr="000101B1">
              <w:rPr>
                <w:rFonts w:hAnsi="ＭＳ 明朝"/>
                <w:szCs w:val="24"/>
              </w:rPr>
              <w:t>株式形態</w:t>
            </w:r>
          </w:p>
        </w:tc>
        <w:tc>
          <w:tcPr>
            <w:tcW w:w="4065" w:type="dxa"/>
            <w:shd w:val="clear" w:color="auto" w:fill="auto"/>
            <w:vAlign w:val="center"/>
          </w:tcPr>
          <w:p w14:paraId="379D5C3A" w14:textId="77777777" w:rsidR="000101B1" w:rsidRPr="000101B1" w:rsidRDefault="000101B1" w:rsidP="008A34B8">
            <w:pPr>
              <w:autoSpaceDE w:val="0"/>
              <w:jc w:val="left"/>
              <w:rPr>
                <w:rFonts w:hAnsi="ＭＳ 明朝"/>
                <w:szCs w:val="24"/>
              </w:rPr>
            </w:pPr>
            <w:r w:rsidRPr="000101B1">
              <w:rPr>
                <w:rFonts w:hAnsi="ＭＳ 明朝"/>
                <w:szCs w:val="24"/>
              </w:rPr>
              <w:t>発行会社の財政状態の悪化により実質価額が著しく低下した場合、評価損を計上する。</w:t>
            </w:r>
          </w:p>
        </w:tc>
      </w:tr>
      <w:tr w:rsidR="000101B1" w:rsidRPr="000101B1" w14:paraId="38FA679B" w14:textId="77777777" w:rsidTr="0049608C">
        <w:trPr>
          <w:trHeight w:val="868"/>
        </w:trPr>
        <w:tc>
          <w:tcPr>
            <w:tcW w:w="2126" w:type="dxa"/>
            <w:vMerge/>
            <w:shd w:val="clear" w:color="auto" w:fill="auto"/>
          </w:tcPr>
          <w:p w14:paraId="1BE1C965" w14:textId="77777777" w:rsidR="000101B1" w:rsidRPr="000101B1" w:rsidRDefault="000101B1" w:rsidP="008A34B8">
            <w:pPr>
              <w:autoSpaceDE w:val="0"/>
              <w:jc w:val="left"/>
              <w:rPr>
                <w:rFonts w:hAnsi="ＭＳ 明朝"/>
                <w:szCs w:val="24"/>
              </w:rPr>
            </w:pPr>
          </w:p>
        </w:tc>
        <w:tc>
          <w:tcPr>
            <w:tcW w:w="2196" w:type="dxa"/>
            <w:shd w:val="clear" w:color="auto" w:fill="auto"/>
          </w:tcPr>
          <w:p w14:paraId="3FF7DE9D" w14:textId="77777777" w:rsidR="000101B1" w:rsidRPr="000101B1" w:rsidRDefault="000101B1" w:rsidP="008A34B8">
            <w:pPr>
              <w:autoSpaceDE w:val="0"/>
              <w:jc w:val="left"/>
              <w:rPr>
                <w:rFonts w:hAnsi="ＭＳ 明朝"/>
                <w:szCs w:val="24"/>
              </w:rPr>
            </w:pPr>
            <w:r w:rsidRPr="000101B1">
              <w:rPr>
                <w:rFonts w:hAnsi="ＭＳ 明朝"/>
                <w:szCs w:val="24"/>
              </w:rPr>
              <w:t>預託保証金方式</w:t>
            </w:r>
          </w:p>
        </w:tc>
        <w:tc>
          <w:tcPr>
            <w:tcW w:w="4065" w:type="dxa"/>
            <w:shd w:val="clear" w:color="auto" w:fill="auto"/>
            <w:vAlign w:val="center"/>
          </w:tcPr>
          <w:p w14:paraId="23240C59" w14:textId="77777777" w:rsidR="000101B1" w:rsidRPr="000101B1" w:rsidRDefault="000101B1" w:rsidP="008A34B8">
            <w:pPr>
              <w:autoSpaceDE w:val="0"/>
              <w:jc w:val="left"/>
              <w:rPr>
                <w:rFonts w:hAnsi="ＭＳ 明朝"/>
                <w:szCs w:val="24"/>
              </w:rPr>
            </w:pPr>
            <w:r w:rsidRPr="000101B1">
              <w:rPr>
                <w:rFonts w:hAnsi="ＭＳ 明朝"/>
                <w:szCs w:val="24"/>
              </w:rPr>
              <w:t>預託保証金の回収可能性に疑義が生じた場合には、債権の評価勘定として貸倒引当金を設定する。</w:t>
            </w:r>
          </w:p>
        </w:tc>
      </w:tr>
    </w:tbl>
    <w:p w14:paraId="796584C4" w14:textId="77777777" w:rsidR="000101B1" w:rsidRPr="000101B1" w:rsidRDefault="000101B1" w:rsidP="000101B1">
      <w:pPr>
        <w:autoSpaceDE w:val="0"/>
        <w:ind w:leftChars="400" w:left="1355" w:hangingChars="100" w:hanging="271"/>
        <w:jc w:val="left"/>
        <w:rPr>
          <w:rFonts w:ascii="ＭＳ ゴシック" w:eastAsia="ＭＳ ゴシック" w:hAnsi="ＭＳ ゴシック"/>
          <w:szCs w:val="24"/>
        </w:rPr>
      </w:pPr>
      <w:r w:rsidRPr="000101B1">
        <w:rPr>
          <w:rFonts w:hAnsi="ＭＳ 明朝" w:hint="eastAsia"/>
          <w:szCs w:val="24"/>
        </w:rPr>
        <w:t>2.前項における｢著しい時価の下落｣、「時価」、「実質価額」は前条第2項と同様とする。</w:t>
      </w:r>
    </w:p>
    <w:p w14:paraId="46A33CC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7F5F7595"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11</w:t>
      </w:r>
      <w:r w:rsidRPr="000101B1">
        <w:rPr>
          <w:rFonts w:ascii="ＭＳ ゴシック" w:eastAsia="ＭＳ ゴシック" w:hAnsi="ＭＳ ゴシック" w:hint="eastAsia"/>
          <w:szCs w:val="24"/>
        </w:rPr>
        <w:t>条　(たな卸資産の評価)</w:t>
      </w:r>
    </w:p>
    <w:p w14:paraId="0C2EC66D" w14:textId="77777777" w:rsidR="000101B1" w:rsidRPr="000101B1" w:rsidRDefault="000101B1" w:rsidP="000101B1">
      <w:pPr>
        <w:autoSpaceDE w:val="0"/>
        <w:ind w:leftChars="450" w:left="1219"/>
        <w:jc w:val="left"/>
        <w:rPr>
          <w:rFonts w:hAnsi="ＭＳ 明朝"/>
          <w:szCs w:val="24"/>
        </w:rPr>
      </w:pPr>
      <w:r w:rsidRPr="000101B1">
        <w:rPr>
          <w:rFonts w:hAnsi="ＭＳ 明朝" w:hint="eastAsia"/>
          <w:szCs w:val="24"/>
        </w:rPr>
        <w:t>たな卸資産の四半期末ならびに期末における評価基準および評価方法は、次のとおりとする。</w:t>
      </w:r>
    </w:p>
    <w:p w14:paraId="797EE949" w14:textId="77777777" w:rsidR="000101B1" w:rsidRPr="000101B1" w:rsidRDefault="000101B1" w:rsidP="000101B1">
      <w:pPr>
        <w:autoSpaceDE w:val="0"/>
        <w:ind w:leftChars="450" w:left="4335" w:hangingChars="1150" w:hanging="3116"/>
        <w:jc w:val="left"/>
        <w:rPr>
          <w:rFonts w:hAnsi="ＭＳ 明朝"/>
          <w:szCs w:val="24"/>
        </w:rPr>
      </w:pPr>
      <w:r w:rsidRPr="000101B1">
        <w:rPr>
          <w:rFonts w:hAnsi="ＭＳ 明朝" w:hint="eastAsia"/>
          <w:szCs w:val="24"/>
        </w:rPr>
        <w:t>(1)販売用不動産　　　　個別法による原価法（貸借対照表価額につ</w:t>
      </w:r>
      <w:r w:rsidRPr="000101B1">
        <w:rPr>
          <w:rFonts w:hAnsi="ＭＳ 明朝" w:hint="eastAsia"/>
          <w:szCs w:val="24"/>
        </w:rPr>
        <w:lastRenderedPageBreak/>
        <w:t>いては収益性の低下に基づく簿価切下げの方法</w:t>
      </w:r>
      <w:r w:rsidRPr="000101B1">
        <w:rPr>
          <w:rFonts w:hAnsi="ＭＳ 明朝"/>
          <w:szCs w:val="24"/>
        </w:rPr>
        <w:t>）</w:t>
      </w:r>
    </w:p>
    <w:p w14:paraId="14C87D60" w14:textId="77777777" w:rsidR="000101B1" w:rsidRPr="000101B1" w:rsidRDefault="000101B1" w:rsidP="000101B1">
      <w:pPr>
        <w:autoSpaceDE w:val="0"/>
        <w:ind w:leftChars="450" w:left="4335" w:hangingChars="1150" w:hanging="3116"/>
        <w:jc w:val="left"/>
        <w:rPr>
          <w:rFonts w:hAnsi="ＭＳ 明朝"/>
          <w:szCs w:val="24"/>
        </w:rPr>
      </w:pPr>
      <w:r w:rsidRPr="000101B1">
        <w:rPr>
          <w:rFonts w:hAnsi="ＭＳ 明朝" w:hint="eastAsia"/>
          <w:szCs w:val="24"/>
        </w:rPr>
        <w:t>(2)開発事業支出金　　　個別法による原価法（貸借対照表価額については収益性の低下に基づく簿価切下げの方法）</w:t>
      </w:r>
    </w:p>
    <w:p w14:paraId="6A7E760F" w14:textId="77777777" w:rsidR="000101B1" w:rsidRPr="000101B1" w:rsidRDefault="000101B1" w:rsidP="000101B1">
      <w:pPr>
        <w:autoSpaceDE w:val="0"/>
        <w:ind w:leftChars="450" w:left="4335" w:hangingChars="1150" w:hanging="3116"/>
        <w:jc w:val="left"/>
        <w:rPr>
          <w:rFonts w:hAnsi="ＭＳ 明朝"/>
          <w:szCs w:val="24"/>
        </w:rPr>
      </w:pPr>
      <w:r w:rsidRPr="000101B1">
        <w:rPr>
          <w:rFonts w:hAnsi="ＭＳ 明朝" w:hint="eastAsia"/>
          <w:szCs w:val="24"/>
        </w:rPr>
        <w:t>(3)未成工事支出金　　　個別法による原価法（貸借対照表価額については収益性の低下に基づく簿価切下げの方法）</w:t>
      </w:r>
    </w:p>
    <w:p w14:paraId="10840168" w14:textId="77777777" w:rsidR="000101B1" w:rsidRPr="000101B1" w:rsidRDefault="000101B1" w:rsidP="000101B1">
      <w:pPr>
        <w:autoSpaceDE w:val="0"/>
        <w:ind w:leftChars="450" w:left="4335" w:hangingChars="1150" w:hanging="3116"/>
        <w:jc w:val="left"/>
        <w:rPr>
          <w:rFonts w:ascii="ＭＳ ゴシック" w:eastAsia="ＭＳ ゴシック" w:hAnsi="ＭＳ ゴシック"/>
          <w:szCs w:val="24"/>
        </w:rPr>
      </w:pPr>
      <w:r w:rsidRPr="000101B1">
        <w:rPr>
          <w:rFonts w:hAnsi="ＭＳ 明朝" w:hint="eastAsia"/>
          <w:szCs w:val="24"/>
        </w:rPr>
        <w:t>(4)材料貯蔵品　　　　　最終仕入原価法（貸借対照表価額については収益性の低下に基づく簿価切下げの方法）</w:t>
      </w:r>
    </w:p>
    <w:p w14:paraId="3336B21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45B2F37"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12</w:t>
      </w:r>
      <w:r w:rsidRPr="000101B1">
        <w:rPr>
          <w:rFonts w:ascii="ＭＳ ゴシック" w:eastAsia="ＭＳ ゴシック" w:hAnsi="ＭＳ ゴシック" w:hint="eastAsia"/>
          <w:szCs w:val="24"/>
        </w:rPr>
        <w:t>条　(たな卸資産減損会計の基準)</w:t>
      </w:r>
    </w:p>
    <w:p w14:paraId="76DA2661" w14:textId="77777777" w:rsidR="00614199" w:rsidRPr="002543B6" w:rsidRDefault="00614199" w:rsidP="00614199">
      <w:pPr>
        <w:tabs>
          <w:tab w:val="left" w:pos="1446"/>
          <w:tab w:val="left" w:pos="1928"/>
        </w:tabs>
        <w:autoSpaceDE w:val="0"/>
        <w:ind w:leftChars="450" w:left="1219"/>
        <w:jc w:val="left"/>
        <w:rPr>
          <w:rFonts w:hAnsi="ＭＳ 明朝"/>
          <w:szCs w:val="24"/>
        </w:rPr>
      </w:pPr>
      <w:r w:rsidRPr="002543B6">
        <w:rPr>
          <w:rFonts w:hAnsi="ＭＳ 明朝" w:hint="eastAsia"/>
          <w:szCs w:val="24"/>
        </w:rPr>
        <w:t>たな卸資産の四半期末ならびに期末における減損会計の基準は、次のとおりとする。</w:t>
      </w:r>
    </w:p>
    <w:p w14:paraId="29FF5724" w14:textId="77777777" w:rsidR="00614199" w:rsidRPr="002543B6" w:rsidRDefault="00614199" w:rsidP="00614199">
      <w:pPr>
        <w:tabs>
          <w:tab w:val="left" w:pos="1446"/>
          <w:tab w:val="left" w:pos="1928"/>
        </w:tabs>
        <w:autoSpaceDE w:val="0"/>
        <w:ind w:leftChars="450" w:left="1625" w:hangingChars="150" w:hanging="406"/>
        <w:jc w:val="left"/>
        <w:rPr>
          <w:rFonts w:hAnsi="ＭＳ 明朝"/>
          <w:szCs w:val="24"/>
        </w:rPr>
      </w:pPr>
      <w:r w:rsidRPr="002543B6">
        <w:rPr>
          <w:rFonts w:hAnsi="ＭＳ 明朝" w:hint="eastAsia"/>
          <w:szCs w:val="24"/>
        </w:rPr>
        <w:t>(1)開発事業支出金（販売用土地を含む。以下、本条において同じ。）および販売用建物</w:t>
      </w:r>
    </w:p>
    <w:p w14:paraId="43BEDC51" w14:textId="77777777" w:rsidR="00614199" w:rsidRPr="002543B6" w:rsidRDefault="00614199" w:rsidP="00614199">
      <w:pPr>
        <w:tabs>
          <w:tab w:val="left" w:pos="1446"/>
          <w:tab w:val="left" w:pos="1928"/>
        </w:tabs>
        <w:autoSpaceDE w:val="0"/>
        <w:ind w:leftChars="600" w:left="1626"/>
        <w:jc w:val="left"/>
        <w:rPr>
          <w:rFonts w:hAnsi="ＭＳ 明朝"/>
          <w:szCs w:val="24"/>
        </w:rPr>
      </w:pPr>
      <w:r>
        <w:rPr>
          <w:rFonts w:hAnsi="ＭＳ 明朝" w:hint="eastAsia"/>
          <w:szCs w:val="24"/>
        </w:rPr>
        <w:t>・</w:t>
      </w:r>
      <w:r w:rsidRPr="002543B6">
        <w:rPr>
          <w:rFonts w:hAnsi="ＭＳ 明朝" w:hint="eastAsia"/>
          <w:szCs w:val="24"/>
        </w:rPr>
        <w:t>正味実現可能価額基準</w:t>
      </w:r>
    </w:p>
    <w:p w14:paraId="0C16D9E8" w14:textId="77777777" w:rsidR="00614199" w:rsidRPr="002543B6" w:rsidRDefault="00614199" w:rsidP="00614199">
      <w:pPr>
        <w:tabs>
          <w:tab w:val="left" w:pos="1446"/>
          <w:tab w:val="left" w:pos="1928"/>
        </w:tabs>
        <w:autoSpaceDE w:val="0"/>
        <w:ind w:leftChars="700" w:left="1897"/>
        <w:jc w:val="left"/>
        <w:rPr>
          <w:rFonts w:hAnsi="ＭＳ 明朝"/>
          <w:szCs w:val="24"/>
        </w:rPr>
      </w:pPr>
      <w:r w:rsidRPr="002543B6">
        <w:rPr>
          <w:rFonts w:hAnsi="ＭＳ 明朝" w:hint="eastAsia"/>
          <w:szCs w:val="24"/>
        </w:rPr>
        <w:t>四半期ならびに期末において、開発事業支出金（区画単位）の取得価額が、その正味実現可能価額を超えている場合は、正味実現可能価額まで評価減を行う。</w:t>
      </w:r>
    </w:p>
    <w:p w14:paraId="63B261E3" w14:textId="77777777" w:rsidR="00614199" w:rsidRPr="002543B6" w:rsidRDefault="00614199" w:rsidP="00614199">
      <w:pPr>
        <w:tabs>
          <w:tab w:val="left" w:pos="1446"/>
          <w:tab w:val="left" w:pos="1928"/>
        </w:tabs>
        <w:autoSpaceDE w:val="0"/>
        <w:ind w:leftChars="700" w:left="1897"/>
        <w:jc w:val="left"/>
        <w:rPr>
          <w:rFonts w:hAnsi="ＭＳ 明朝"/>
          <w:szCs w:val="24"/>
        </w:rPr>
      </w:pPr>
      <w:r w:rsidRPr="002543B6">
        <w:rPr>
          <w:rFonts w:hAnsi="ＭＳ 明朝" w:hint="eastAsia"/>
          <w:szCs w:val="24"/>
        </w:rPr>
        <w:t>(注)正味実現可能価額の算出方法</w:t>
      </w:r>
    </w:p>
    <w:p w14:paraId="4D621BAE" w14:textId="77777777" w:rsidR="00614199" w:rsidRPr="002543B6" w:rsidRDefault="00614199" w:rsidP="00614199">
      <w:pPr>
        <w:tabs>
          <w:tab w:val="left" w:pos="1446"/>
          <w:tab w:val="left" w:pos="1928"/>
        </w:tabs>
        <w:autoSpaceDE w:val="0"/>
        <w:ind w:leftChars="900" w:left="2439"/>
        <w:jc w:val="left"/>
        <w:rPr>
          <w:rFonts w:hAnsi="ＭＳ 明朝"/>
          <w:szCs w:val="24"/>
        </w:rPr>
      </w:pPr>
      <w:r w:rsidRPr="002543B6">
        <w:rPr>
          <w:rFonts w:hAnsi="ＭＳ 明朝" w:hint="eastAsia"/>
          <w:szCs w:val="24"/>
        </w:rPr>
        <w:t>正味実現可能価額＝販売計画販売見込額－（造成原価等の見込額＋販売経費等の見込額）</w:t>
      </w:r>
    </w:p>
    <w:p w14:paraId="47CCB05C" w14:textId="77777777" w:rsidR="00614199" w:rsidRPr="002543B6" w:rsidRDefault="00614199" w:rsidP="00614199">
      <w:pPr>
        <w:tabs>
          <w:tab w:val="left" w:pos="1446"/>
          <w:tab w:val="left" w:pos="1928"/>
        </w:tabs>
        <w:autoSpaceDE w:val="0"/>
        <w:ind w:leftChars="450" w:left="1219"/>
        <w:jc w:val="left"/>
        <w:rPr>
          <w:rFonts w:hAnsi="ＭＳ 明朝"/>
          <w:szCs w:val="24"/>
        </w:rPr>
      </w:pPr>
      <w:r w:rsidRPr="002543B6">
        <w:rPr>
          <w:rFonts w:hAnsi="ＭＳ 明朝" w:hint="eastAsia"/>
          <w:szCs w:val="24"/>
        </w:rPr>
        <w:t>(2)未成工事支出金</w:t>
      </w:r>
    </w:p>
    <w:p w14:paraId="1296A493" w14:textId="77777777" w:rsidR="00614199" w:rsidRPr="002543B6" w:rsidRDefault="00614199" w:rsidP="00614199">
      <w:pPr>
        <w:tabs>
          <w:tab w:val="left" w:pos="1446"/>
          <w:tab w:val="left" w:pos="1928"/>
        </w:tabs>
        <w:autoSpaceDE w:val="0"/>
        <w:ind w:leftChars="600" w:left="1626"/>
        <w:jc w:val="left"/>
        <w:rPr>
          <w:rFonts w:hAnsi="ＭＳ 明朝"/>
          <w:szCs w:val="24"/>
        </w:rPr>
      </w:pPr>
      <w:r w:rsidRPr="002543B6">
        <w:rPr>
          <w:rFonts w:hAnsi="ＭＳ 明朝" w:hint="eastAsia"/>
          <w:szCs w:val="24"/>
        </w:rPr>
        <w:t>四半期末ならびに期末において、未成工事支出金（受注単位）の取得価額が受注額を超えている場合は、その受注額まで評価減を行う。</w:t>
      </w:r>
    </w:p>
    <w:p w14:paraId="7832556D" w14:textId="543FD2BF" w:rsidR="000101B1" w:rsidRDefault="000101B1" w:rsidP="000101B1">
      <w:pPr>
        <w:tabs>
          <w:tab w:val="left" w:pos="1446"/>
          <w:tab w:val="left" w:pos="1928"/>
        </w:tabs>
        <w:autoSpaceDE w:val="0"/>
        <w:jc w:val="left"/>
        <w:rPr>
          <w:rFonts w:ascii="ＭＳ ゴシック" w:eastAsia="ＭＳ ゴシック" w:hAnsi="ＭＳ ゴシック"/>
          <w:szCs w:val="24"/>
        </w:rPr>
      </w:pPr>
    </w:p>
    <w:p w14:paraId="2F84D3A3" w14:textId="77777777" w:rsidR="00614199" w:rsidRPr="000101B1" w:rsidRDefault="00614199" w:rsidP="000101B1">
      <w:pPr>
        <w:tabs>
          <w:tab w:val="left" w:pos="1446"/>
          <w:tab w:val="left" w:pos="1928"/>
        </w:tabs>
        <w:autoSpaceDE w:val="0"/>
        <w:jc w:val="left"/>
        <w:rPr>
          <w:rFonts w:ascii="ＭＳ ゴシック" w:eastAsia="ＭＳ ゴシック" w:hAnsi="ＭＳ ゴシック" w:hint="eastAsia"/>
          <w:szCs w:val="24"/>
        </w:rPr>
      </w:pPr>
    </w:p>
    <w:p w14:paraId="3E0428A4"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4</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減価償却費の計上</w:t>
      </w:r>
    </w:p>
    <w:p w14:paraId="4097E0BD"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D957F3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13</w:t>
      </w:r>
      <w:r w:rsidRPr="000101B1">
        <w:rPr>
          <w:rFonts w:ascii="ＭＳ ゴシック" w:eastAsia="ＭＳ ゴシック" w:hAnsi="ＭＳ ゴシック" w:hint="eastAsia"/>
          <w:szCs w:val="24"/>
        </w:rPr>
        <w:t>条　(減価償却の方法)</w:t>
      </w:r>
    </w:p>
    <w:p w14:paraId="0B3F1311"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減価償却の方法については経済的耐用年数を用いて次の方法で減価償却を実施するものとする。</w:t>
      </w:r>
    </w:p>
    <w:p w14:paraId="0DCB26B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(1)有形固定資産（リース資産を除く。）</w:t>
      </w:r>
    </w:p>
    <w:p w14:paraId="45998636"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定率法（ただし、1998年4月1日以降取得の建物（建物附属設備</w:t>
      </w:r>
      <w:r w:rsidRPr="000101B1">
        <w:rPr>
          <w:rFonts w:hAnsi="ＭＳ 明朝" w:hint="eastAsia"/>
          <w:szCs w:val="24"/>
        </w:rPr>
        <w:lastRenderedPageBreak/>
        <w:t>を除く）については、定額法。）</w:t>
      </w:r>
    </w:p>
    <w:p w14:paraId="2DBE9AE3"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(2)無形固定資産</w:t>
      </w:r>
    </w:p>
    <w:p w14:paraId="0448C512"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定額法</w:t>
      </w:r>
    </w:p>
    <w:p w14:paraId="76BCE56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(3)リース資産</w:t>
      </w:r>
    </w:p>
    <w:p w14:paraId="47B9A484"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所有権移転外ファイナンス・リース取引に係るリース資産</w:t>
      </w:r>
    </w:p>
    <w:p w14:paraId="37E93EC9"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リース期間を耐用年数とし、残存価額を零とする定額法</w:t>
      </w:r>
    </w:p>
    <w:p w14:paraId="0A1A6EE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(4)長期前払費用</w:t>
      </w:r>
    </w:p>
    <w:p w14:paraId="331D4B24"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定額法</w:t>
      </w:r>
    </w:p>
    <w:p w14:paraId="05D878E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CA2DAB5"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14</w:t>
      </w:r>
      <w:r w:rsidRPr="000101B1">
        <w:rPr>
          <w:rFonts w:ascii="ＭＳ ゴシック" w:eastAsia="ＭＳ ゴシック" w:hAnsi="ＭＳ ゴシック" w:hint="eastAsia"/>
          <w:szCs w:val="24"/>
        </w:rPr>
        <w:t>条　(固定資産の減損)</w:t>
      </w:r>
    </w:p>
    <w:p w14:paraId="6EAD32B5" w14:textId="77777777" w:rsidR="000101B1" w:rsidRPr="000101B1" w:rsidRDefault="000101B1" w:rsidP="000101B1">
      <w:pPr>
        <w:tabs>
          <w:tab w:val="left" w:pos="1446"/>
          <w:tab w:val="left" w:pos="1928"/>
        </w:tabs>
        <w:autoSpaceDE w:val="0"/>
        <w:adjustRightInd w:val="0"/>
        <w:ind w:leftChars="450" w:left="1490" w:hangingChars="100" w:hanging="271"/>
        <w:jc w:val="left"/>
        <w:rPr>
          <w:rFonts w:hAnsi="ＭＳ 明朝"/>
          <w:szCs w:val="24"/>
        </w:rPr>
      </w:pPr>
      <w:r w:rsidRPr="000101B1">
        <w:rPr>
          <w:rFonts w:hAnsi="ＭＳ 明朝" w:hint="eastAsia"/>
          <w:szCs w:val="24"/>
        </w:rPr>
        <w:t>1.「経理事務取扱要綱」第48条に従い、固定資産の減損処理を行う。固定資産の減損処理方法は「固定資産の減損に係る会計基準」、「固定資産の減損に係る会計基準の適用指針」等に従う。</w:t>
      </w:r>
    </w:p>
    <w:p w14:paraId="057F4B9C" w14:textId="77777777" w:rsidR="000101B1" w:rsidRPr="000101B1" w:rsidRDefault="000101B1" w:rsidP="000101B1">
      <w:pPr>
        <w:tabs>
          <w:tab w:val="left" w:pos="1446"/>
          <w:tab w:val="left" w:pos="1928"/>
        </w:tabs>
        <w:autoSpaceDE w:val="0"/>
        <w:adjustRightInd w:val="0"/>
        <w:ind w:leftChars="450" w:left="1490" w:hangingChars="100" w:hanging="271"/>
        <w:jc w:val="left"/>
        <w:rPr>
          <w:rFonts w:hAnsi="ＭＳ 明朝"/>
          <w:szCs w:val="24"/>
        </w:rPr>
      </w:pPr>
      <w:r w:rsidRPr="000101B1">
        <w:rPr>
          <w:rFonts w:hAnsi="ＭＳ 明朝" w:hint="eastAsia"/>
          <w:szCs w:val="24"/>
        </w:rPr>
        <w:t>2.減損損失を計上した場合の貸借対照表の表示は、減損処理前の取得原価から減損損失を直接控除し、控除後の金額をその後の取得原価とする方式（「固定資産の減損に係る会計基準の適用指針」にいう直接控除方式）を採用する。</w:t>
      </w:r>
    </w:p>
    <w:p w14:paraId="7F844AE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13A78B5"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B3563BE"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5</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費用収益の見越し・繰延処理</w:t>
      </w:r>
    </w:p>
    <w:p w14:paraId="1A40150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773F022"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15</w:t>
      </w:r>
      <w:r w:rsidRPr="000101B1">
        <w:rPr>
          <w:rFonts w:ascii="ＭＳ ゴシック" w:eastAsia="ＭＳ ゴシック" w:hAnsi="ＭＳ ゴシック" w:hint="eastAsia"/>
          <w:szCs w:val="24"/>
        </w:rPr>
        <w:t>条　(費用収益の見越し・繰延処理)</w:t>
      </w:r>
    </w:p>
    <w:p w14:paraId="25D0177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費用および収益は、その支出および収入に基づいて計上し、その発生した期間に正しく割り当てられるように処理するため、決算手続として費用収益の見越し・繰延処理を行う。</w:t>
      </w:r>
    </w:p>
    <w:p w14:paraId="3B2175F8"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DB76BF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16</w:t>
      </w:r>
      <w:r w:rsidRPr="000101B1">
        <w:rPr>
          <w:rFonts w:ascii="ＭＳ ゴシック" w:eastAsia="ＭＳ ゴシック" w:hAnsi="ＭＳ ゴシック" w:hint="eastAsia"/>
          <w:szCs w:val="24"/>
        </w:rPr>
        <w:t>条　(繰延資産の会計処理)</w:t>
      </w:r>
    </w:p>
    <w:p w14:paraId="50B66190"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繰延資産の会計処理は次のとおりとする。</w:t>
      </w:r>
    </w:p>
    <w:p w14:paraId="7FC9A1EF"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(1)株式交付費　支出時に全額費用として処理する。</w:t>
      </w:r>
    </w:p>
    <w:p w14:paraId="755638BE"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(2)社債発行費　支出時に全額費用として処理する。</w:t>
      </w:r>
    </w:p>
    <w:p w14:paraId="07CBD906"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251625E"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773789E9"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6</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引当金の計上</w:t>
      </w:r>
    </w:p>
    <w:p w14:paraId="28B2A0B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7CC43B3"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17</w:t>
      </w:r>
      <w:r w:rsidRPr="000101B1">
        <w:rPr>
          <w:rFonts w:ascii="ＭＳ ゴシック" w:eastAsia="ＭＳ ゴシック" w:hAnsi="ＭＳ ゴシック" w:hint="eastAsia"/>
          <w:szCs w:val="24"/>
        </w:rPr>
        <w:t>条　(貸倒引当金の計上基準)</w:t>
      </w:r>
    </w:p>
    <w:p w14:paraId="224E253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債権の貸倒れによる損失に備えるため、一般債権については貸倒実績</w:t>
      </w:r>
      <w:r w:rsidRPr="000101B1">
        <w:rPr>
          <w:rFonts w:hAnsi="ＭＳ 明朝" w:hint="eastAsia"/>
          <w:szCs w:val="24"/>
        </w:rPr>
        <w:lastRenderedPageBreak/>
        <w:t>率により、貸倒懸念債権等特定の債権については個別に回収可能性を勘案し、回収不能見込額を計上する。</w:t>
      </w:r>
    </w:p>
    <w:p w14:paraId="2AF653C6"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6F88D86"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18</w:t>
      </w:r>
      <w:r w:rsidRPr="000101B1">
        <w:rPr>
          <w:rFonts w:ascii="ＭＳ ゴシック" w:eastAsia="ＭＳ ゴシック" w:hAnsi="ＭＳ ゴシック" w:hint="eastAsia"/>
          <w:szCs w:val="24"/>
        </w:rPr>
        <w:t>条　(貸倒引当金の処理)</w:t>
      </w:r>
    </w:p>
    <w:p w14:paraId="485A292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貸倒引当金の算定に当たっては、債権を次のとおり区分する。</w:t>
      </w:r>
    </w:p>
    <w:p w14:paraId="45EA2825"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(1)一般債権</w:t>
      </w:r>
    </w:p>
    <w:p w14:paraId="4312DEE5"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経営状態に重大な問題が生じていない債務者に対する債権</w:t>
      </w:r>
    </w:p>
    <w:p w14:paraId="45FDCDA9"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(2)貸倒懸念債権</w:t>
      </w:r>
    </w:p>
    <w:p w14:paraId="34C79766"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経営破綻の状態には至っていないが、債務の弁済に重大な懸念が生じているか、または生じる可能性が高い債務者に対する債権</w:t>
      </w:r>
    </w:p>
    <w:p w14:paraId="6807F713"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(3)破綻債権</w:t>
      </w:r>
    </w:p>
    <w:p w14:paraId="149E77A3"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経営破綻または実質的に経営破綻に陥っている債務者に対する債権</w:t>
      </w:r>
    </w:p>
    <w:p w14:paraId="1E6052A0"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704E969E"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w:t>
      </w:r>
      <w:r w:rsidRPr="000101B1">
        <w:rPr>
          <w:rFonts w:ascii="ＭＳ ゴシック" w:eastAsia="ＭＳ ゴシック" w:hAnsi="ＭＳ ゴシック"/>
          <w:szCs w:val="24"/>
        </w:rPr>
        <w:t>1</w:t>
      </w:r>
      <w:r w:rsidRPr="000101B1">
        <w:rPr>
          <w:rFonts w:ascii="ＭＳ ゴシック" w:eastAsia="ＭＳ ゴシック" w:hAnsi="ＭＳ ゴシック" w:hint="eastAsia"/>
          <w:szCs w:val="24"/>
        </w:rPr>
        <w:t>9条　(貸倒見積高の算定)</w:t>
      </w:r>
    </w:p>
    <w:p w14:paraId="11F52B14"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前条の債権区分に従い、次のとおり貸倒見積高を算定する。</w:t>
      </w:r>
    </w:p>
    <w:p w14:paraId="0582658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(1)一般債権</w:t>
      </w:r>
    </w:p>
    <w:p w14:paraId="767D958D"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債権全体に対して貸倒実績率等により貸倒見積高を算定する。</w:t>
      </w:r>
    </w:p>
    <w:p w14:paraId="4ADF3430"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(2)貸倒懸念債権</w:t>
      </w:r>
    </w:p>
    <w:p w14:paraId="6FE1F9EA"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担保または保証が付されている債権については、債権額から担保の処分見込額および保証による回収見込額を減額し、その残額について債務者の財政状態および経営成績を考慮して貸倒見積額を算定する。</w:t>
      </w:r>
    </w:p>
    <w:p w14:paraId="4B3D761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(3)破綻債権</w:t>
      </w:r>
    </w:p>
    <w:p w14:paraId="0FE89319" w14:textId="77777777" w:rsidR="000101B1" w:rsidRPr="000101B1" w:rsidRDefault="000101B1" w:rsidP="000101B1">
      <w:pPr>
        <w:tabs>
          <w:tab w:val="left" w:pos="1446"/>
          <w:tab w:val="left" w:pos="1928"/>
        </w:tabs>
        <w:autoSpaceDE w:val="0"/>
        <w:ind w:leftChars="600" w:left="1626"/>
        <w:jc w:val="left"/>
        <w:rPr>
          <w:rFonts w:hAnsi="ＭＳ 明朝"/>
          <w:szCs w:val="24"/>
        </w:rPr>
      </w:pPr>
      <w:r w:rsidRPr="000101B1">
        <w:rPr>
          <w:rFonts w:hAnsi="ＭＳ 明朝" w:hint="eastAsia"/>
          <w:szCs w:val="24"/>
        </w:rPr>
        <w:t>上述、貸倒懸念債権と同様な処理を行う。</w:t>
      </w:r>
    </w:p>
    <w:p w14:paraId="685FDCC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0A5AF0F"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第20条　(貸倒引当金の表示)</w:t>
      </w:r>
    </w:p>
    <w:p w14:paraId="2F39BA73"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貸倒引当金の貸借対照表の表示は、流動項目、固定項目に区分した上で、債権から控除する形式で表示する。</w:t>
      </w:r>
    </w:p>
    <w:p w14:paraId="54B2AC1C"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581A24F"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第21条　(賞与引当金の計上基準)</w:t>
      </w:r>
    </w:p>
    <w:p w14:paraId="393C9F5E"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従業員に対して支給する賞与の支出に充てるため、将来の支給見込額のうち、事業年度負担額を計上する。</w:t>
      </w:r>
    </w:p>
    <w:p w14:paraId="65BABDD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81232D4"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第22条　(賞与引当金の処理)</w:t>
      </w:r>
    </w:p>
    <w:p w14:paraId="7D34D8A9"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1.賞与引当金繰入額の算定式は次のとおりである。</w:t>
      </w:r>
    </w:p>
    <w:p w14:paraId="6F68CFF1" w14:textId="77777777" w:rsidR="000101B1" w:rsidRPr="000101B1" w:rsidRDefault="000101B1" w:rsidP="000101B1">
      <w:pPr>
        <w:tabs>
          <w:tab w:val="left" w:pos="1446"/>
          <w:tab w:val="left" w:pos="1928"/>
        </w:tabs>
        <w:autoSpaceDE w:val="0"/>
        <w:ind w:leftChars="550" w:left="1761" w:hangingChars="100" w:hanging="271"/>
        <w:jc w:val="left"/>
        <w:rPr>
          <w:rFonts w:hAnsi="ＭＳ 明朝"/>
          <w:szCs w:val="24"/>
        </w:rPr>
      </w:pPr>
      <w:r w:rsidRPr="000101B1">
        <w:rPr>
          <w:rFonts w:hAnsi="ＭＳ 明朝" w:hint="eastAsia"/>
          <w:szCs w:val="24"/>
        </w:rPr>
        <w:t>賞与引当金繰入額＝賞与支給見込額×事業年度経過月数</w:t>
      </w:r>
    </w:p>
    <w:p w14:paraId="22FE36D4"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2.賞与支給見込額は、期末月の支給対象者の賞与対象額に、実績を参</w:t>
      </w:r>
      <w:r w:rsidRPr="000101B1">
        <w:rPr>
          <w:rFonts w:hAnsi="ＭＳ 明朝" w:hint="eastAsia"/>
          <w:szCs w:val="24"/>
        </w:rPr>
        <w:lastRenderedPageBreak/>
        <w:t>考にして定められた次の支給予定月数を乗じて算出する。</w:t>
      </w:r>
    </w:p>
    <w:p w14:paraId="0D8A3A9C"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(1)6月支給賞与　　　 1.2ヶ月</w:t>
      </w:r>
    </w:p>
    <w:p w14:paraId="0AF7331D"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(2)12月支給賞与　　　1.6ヶ月</w:t>
      </w:r>
    </w:p>
    <w:p w14:paraId="48709B1A" w14:textId="77777777" w:rsidR="000101B1" w:rsidRPr="000101B1" w:rsidRDefault="000101B1" w:rsidP="000101B1">
      <w:pPr>
        <w:tabs>
          <w:tab w:val="left" w:pos="1446"/>
          <w:tab w:val="left" w:pos="1928"/>
        </w:tabs>
        <w:autoSpaceDE w:val="0"/>
        <w:ind w:leftChars="700" w:left="1897"/>
        <w:jc w:val="left"/>
        <w:rPr>
          <w:rFonts w:hAnsi="ＭＳ 明朝"/>
          <w:szCs w:val="24"/>
        </w:rPr>
      </w:pPr>
      <w:r w:rsidRPr="000101B1">
        <w:rPr>
          <w:rFonts w:hAnsi="ＭＳ 明朝" w:hint="eastAsia"/>
          <w:szCs w:val="24"/>
        </w:rPr>
        <w:t>なお、支給額が確定しているなど、より合理的な支給見込額が明らかな場合は、上記の計算によらず、合理的な支給見込額による。</w:t>
      </w:r>
    </w:p>
    <w:p w14:paraId="22FB1DC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3.事業年度経過月数は、次の支給対象期間を考慮して算定する。</w:t>
      </w:r>
    </w:p>
    <w:p w14:paraId="16B2DD6C"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(1)6月支給賞与　　　 12月～翌年5月</w:t>
      </w:r>
    </w:p>
    <w:p w14:paraId="66E5488E"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(2)12月支給賞与　　　 6月～11月</w:t>
      </w:r>
    </w:p>
    <w:p w14:paraId="051D6501"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3B87CA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第23条　(完成工事補償引当金の計上基準)</w:t>
      </w:r>
    </w:p>
    <w:p w14:paraId="6793E438"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完成工事に係わる補償支出に備えるため、将来の見積補償額を計上する。</w:t>
      </w:r>
    </w:p>
    <w:p w14:paraId="2FA71D59"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391DB37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第24条　(完成工事補償引当金の処理)</w:t>
      </w:r>
    </w:p>
    <w:p w14:paraId="437B287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完成工事補償引当金は当期以前の引渡工事に起因して将来発生が見込まれる補償費を実績率等により合理的な金額を見積り、引当計上を行う。</w:t>
      </w:r>
    </w:p>
    <w:p w14:paraId="66CCFCB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1086A0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第25条　(工事損失引当金の計上基準)</w:t>
      </w:r>
    </w:p>
    <w:p w14:paraId="1AD93F94" w14:textId="77777777" w:rsidR="000101B1" w:rsidRPr="000101B1" w:rsidRDefault="000101B1" w:rsidP="000101B1">
      <w:pPr>
        <w:tabs>
          <w:tab w:val="left" w:pos="1446"/>
          <w:tab w:val="left" w:pos="1928"/>
        </w:tabs>
        <w:autoSpaceDE w:val="0"/>
        <w:adjustRightInd w:val="0"/>
        <w:ind w:leftChars="450" w:left="1219"/>
        <w:jc w:val="left"/>
        <w:rPr>
          <w:rFonts w:hAnsi="ＭＳ 明朝"/>
          <w:szCs w:val="24"/>
        </w:rPr>
      </w:pPr>
      <w:r w:rsidRPr="000101B1">
        <w:rPr>
          <w:rFonts w:hAnsi="ＭＳ 明朝" w:hint="eastAsia"/>
          <w:szCs w:val="24"/>
        </w:rPr>
        <w:t>受注工事に係る将来の損失に備えるため、当事業年度末の未引渡工事のうち、損失が見込まれ、かつ、その金額を合理的に見積ることができる工事について、翌事業年度以降の損失見込額を計上する。</w:t>
      </w:r>
    </w:p>
    <w:p w14:paraId="1B68D5D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FE0D1CE"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第26条　(工事損失引当金の処理)</w:t>
      </w:r>
    </w:p>
    <w:p w14:paraId="0EDD9BDD" w14:textId="77777777" w:rsidR="000101B1" w:rsidRPr="000101B1" w:rsidRDefault="000101B1" w:rsidP="000101B1">
      <w:pPr>
        <w:tabs>
          <w:tab w:val="left" w:pos="1446"/>
          <w:tab w:val="left" w:pos="1928"/>
        </w:tabs>
        <w:autoSpaceDE w:val="0"/>
        <w:ind w:leftChars="450" w:left="1219"/>
        <w:jc w:val="left"/>
        <w:rPr>
          <w:rFonts w:ascii="ＭＳ ゴシック" w:eastAsia="ＭＳ ゴシック" w:hAnsi="ＭＳ ゴシック"/>
          <w:szCs w:val="24"/>
        </w:rPr>
      </w:pPr>
      <w:r w:rsidRPr="000101B1">
        <w:rPr>
          <w:rFonts w:hAnsi="ＭＳ 明朝" w:hint="eastAsia"/>
          <w:szCs w:val="24"/>
        </w:rPr>
        <w:t>工事契約について、工事原価総額等が工事収益総額を超過する可能性が高く、かつ、その金額を合理的に見積もることができる場合には、その超過すると見込まれる額（以下、「工事損失」という。）のうち、当該工事契約に関してすでに計上された損失の額を控除した残額を、工事損失が見込まれた期の損失として、工事損失引当金を計上する。</w:t>
      </w:r>
    </w:p>
    <w:p w14:paraId="66B12076"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4372B08"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第27条　(退職給付引当金の計上基準)</w:t>
      </w:r>
    </w:p>
    <w:p w14:paraId="437A956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従業員の退職に備えるため、退職給付債務および年金資産の見込額に基づき計上する。</w:t>
      </w:r>
    </w:p>
    <w:p w14:paraId="50C2F699"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退職給付債務の算定にあたり、退職給付見込額を当事業年度までの期間に帰属させる方法については期間定額基準によって行う。</w:t>
      </w:r>
    </w:p>
    <w:p w14:paraId="627B256B" w14:textId="77777777" w:rsidR="000101B1" w:rsidRPr="000101B1" w:rsidRDefault="000101B1" w:rsidP="000101B1">
      <w:pPr>
        <w:tabs>
          <w:tab w:val="left" w:pos="1446"/>
          <w:tab w:val="left" w:pos="1928"/>
        </w:tabs>
        <w:autoSpaceDE w:val="0"/>
        <w:ind w:leftChars="450" w:left="1219"/>
        <w:jc w:val="left"/>
        <w:rPr>
          <w:rFonts w:ascii="ＭＳ ゴシック" w:eastAsia="ＭＳ ゴシック" w:hAnsi="ＭＳ ゴシック"/>
          <w:szCs w:val="24"/>
        </w:rPr>
      </w:pPr>
      <w:r w:rsidRPr="000101B1">
        <w:rPr>
          <w:rFonts w:hAnsi="ＭＳ 明朝" w:hint="eastAsia"/>
          <w:szCs w:val="24"/>
        </w:rPr>
        <w:t>数理計算上の差異については、発生年度に一括費用処理を行う。</w:t>
      </w:r>
    </w:p>
    <w:p w14:paraId="295771E8"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AB9AAA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lastRenderedPageBreak/>
        <w:t>第28条　(退職給付引当金の処理)</w:t>
      </w:r>
    </w:p>
    <w:p w14:paraId="5FD556B5"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退職給付引当金については、「退職給付に関する会計基準」等に従い計上を行う。</w:t>
      </w:r>
    </w:p>
    <w:p w14:paraId="166C4FDF"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440E9F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第29条　(役員退職慰労引当金の計上基準)</w:t>
      </w:r>
    </w:p>
    <w:p w14:paraId="595D6FC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役員の退職慰労金の支払に備えるため、役員退職慰労金内規に基づく、事業年度末要支給額を計上する。</w:t>
      </w:r>
    </w:p>
    <w:p w14:paraId="70969343"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B9C6D58"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1B1BBA7D"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7</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原価計算</w:t>
      </w:r>
    </w:p>
    <w:p w14:paraId="11CE0802"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815E9DA"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第30条　(原価計算手続)</w:t>
      </w:r>
    </w:p>
    <w:p w14:paraId="6BB921B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決算手続における原価計算の追加的手続は、次の処理を行う。</w:t>
      </w:r>
    </w:p>
    <w:p w14:paraId="384F5B4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(1)見込原価の計上</w:t>
      </w:r>
    </w:p>
    <w:p w14:paraId="576E4927"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(2)間接費の配賦</w:t>
      </w:r>
    </w:p>
    <w:p w14:paraId="3CF92F24"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3E9246FA"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第31条　(見込原価)</w:t>
      </w:r>
    </w:p>
    <w:p w14:paraId="0CB9C8EE"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売上等収益に対応する売上原価、完成工事原価その他これらに準ずる原価となるべき費用の額の全部または一部が決算日までに確定していない場合には、同日の現況によりその金額を適正に見積るものとする。ただし、単なる事後的費用の性格を有するものはこれに含まない。</w:t>
      </w:r>
    </w:p>
    <w:p w14:paraId="4E5DF95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633AF97"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第32条　(間接費)</w:t>
      </w:r>
    </w:p>
    <w:p w14:paraId="07E3E8AF"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間接費とは、建設に係わる部署の経費と資材調達に係わる部署の経費を間接費として処理する。</w:t>
      </w:r>
    </w:p>
    <w:p w14:paraId="4D623739"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BED61A5"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CC7CBE8"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第33条　(間接費の配賦)</w:t>
      </w:r>
    </w:p>
    <w:p w14:paraId="47E682B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間接費の配賦は原則として、原価計算期間の負担に属する要支払額を次の計算式により按分して配賦する。</w:t>
      </w:r>
    </w:p>
    <w:p w14:paraId="71323F16"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FAB1233" w14:textId="77777777" w:rsidR="000101B1" w:rsidRPr="000101B1" w:rsidRDefault="000101B1" w:rsidP="000101B1">
      <w:pPr>
        <w:tabs>
          <w:tab w:val="left" w:pos="1446"/>
          <w:tab w:val="left" w:pos="1928"/>
        </w:tabs>
        <w:autoSpaceDE w:val="0"/>
        <w:ind w:leftChars="450" w:left="4199" w:hangingChars="1100" w:hanging="2980"/>
        <w:jc w:val="left"/>
        <w:rPr>
          <w:rFonts w:hAnsi="ＭＳ 明朝"/>
          <w:szCs w:val="24"/>
        </w:rPr>
      </w:pPr>
      <w:r w:rsidRPr="000101B1">
        <w:rPr>
          <w:rFonts w:hAnsi="ＭＳ 明朝" w:hint="eastAsia"/>
          <w:szCs w:val="24"/>
        </w:rPr>
        <w:t>1単位当たりの間接費＝(期首間接費在庫計上額＋原価計算期間の投入間接費)÷(原価計算期間の引渡件数+期末受注件数÷2)</w:t>
      </w:r>
    </w:p>
    <w:p w14:paraId="50E5F4E2"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20F07172"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33CF91B"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lastRenderedPageBreak/>
        <w:t>第 8</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税効果処理</w:t>
      </w:r>
    </w:p>
    <w:p w14:paraId="152D60B8"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8E43981"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第34条　(税効果処理手続)</w:t>
      </w:r>
    </w:p>
    <w:p w14:paraId="367EC85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決算手続における税効果処理の手続は、「税効果会計に係る会計基準」等に従い、次の手順で行う。</w:t>
      </w:r>
    </w:p>
    <w:p w14:paraId="38D91144"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(1)一時差異等の認識</w:t>
      </w:r>
    </w:p>
    <w:p w14:paraId="7A783F1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(2)回収可能性の検討</w:t>
      </w:r>
    </w:p>
    <w:p w14:paraId="7219F41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(3)繰延税金資産および繰延税金負債の計上</w:t>
      </w:r>
    </w:p>
    <w:p w14:paraId="68B68F0A"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3E9A6DBE"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4570D635" w14:textId="77777777" w:rsidR="000101B1" w:rsidRPr="000101B1" w:rsidRDefault="000101B1" w:rsidP="000101B1">
      <w:pPr>
        <w:tabs>
          <w:tab w:val="left" w:pos="1446"/>
          <w:tab w:val="left" w:pos="1928"/>
        </w:tabs>
        <w:autoSpaceDE w:val="0"/>
        <w:ind w:left="1755" w:hangingChars="500" w:hanging="1755"/>
        <w:jc w:val="center"/>
        <w:rPr>
          <w:rFonts w:ascii="ＭＳ ゴシック" w:eastAsia="ＭＳ ゴシック" w:hAnsi="ＭＳ ゴシック"/>
          <w:szCs w:val="24"/>
        </w:rPr>
      </w:pPr>
      <w:r w:rsidRPr="000101B1">
        <w:rPr>
          <w:rFonts w:ascii="ＭＳ ゴシック" w:eastAsia="ＭＳ ゴシック" w:hAnsi="ＭＳ ゴシック" w:hint="eastAsia"/>
          <w:sz w:val="32"/>
          <w:szCs w:val="24"/>
        </w:rPr>
        <w:t>第 9</w:t>
      </w:r>
      <w:r w:rsidRPr="000101B1">
        <w:rPr>
          <w:rFonts w:ascii="ＭＳ ゴシック" w:eastAsia="ＭＳ ゴシック" w:hAnsi="ＭＳ ゴシック"/>
          <w:sz w:val="32"/>
          <w:szCs w:val="24"/>
        </w:rPr>
        <w:t xml:space="preserve"> </w:t>
      </w:r>
      <w:r w:rsidRPr="000101B1">
        <w:rPr>
          <w:rFonts w:ascii="ＭＳ ゴシック" w:eastAsia="ＭＳ ゴシック" w:hAnsi="ＭＳ ゴシック" w:hint="eastAsia"/>
          <w:sz w:val="32"/>
          <w:szCs w:val="24"/>
        </w:rPr>
        <w:t>章　連結決算</w:t>
      </w:r>
    </w:p>
    <w:p w14:paraId="14D69456"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07055BFF"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第35条　(連結決算の種類)</w:t>
      </w:r>
    </w:p>
    <w:p w14:paraId="73A6F450"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1.連結決算は、連結計算書類および連結財務諸表の作成を目的として、連結会計年度末に行うものとする。</w:t>
      </w:r>
    </w:p>
    <w:p w14:paraId="66F7A77B"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2.四半期連結決算は、四半期連結財務諸表の作成を目的として、四半期会計期間末に行うものとする。</w:t>
      </w:r>
    </w:p>
    <w:p w14:paraId="45E114C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6E773EE"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第36条　(連結計算書類および連結財務諸表の定義)</w:t>
      </w:r>
    </w:p>
    <w:p w14:paraId="5857568A" w14:textId="77777777" w:rsidR="000101B1" w:rsidRPr="000101B1" w:rsidRDefault="000101B1" w:rsidP="000101B1">
      <w:pPr>
        <w:tabs>
          <w:tab w:val="left" w:pos="1446"/>
          <w:tab w:val="left" w:pos="1928"/>
        </w:tabs>
        <w:autoSpaceDE w:val="0"/>
        <w:adjustRightInd w:val="0"/>
        <w:ind w:leftChars="450" w:left="1490" w:hangingChars="100" w:hanging="271"/>
        <w:jc w:val="left"/>
        <w:rPr>
          <w:rFonts w:hAnsi="ＭＳ 明朝"/>
          <w:szCs w:val="24"/>
        </w:rPr>
      </w:pPr>
      <w:r w:rsidRPr="000101B1">
        <w:rPr>
          <w:rFonts w:hAnsi="ＭＳ 明朝" w:hint="eastAsia"/>
          <w:szCs w:val="24"/>
        </w:rPr>
        <w:t>1.この運営ルールにおいて、連結計算書類とは会社計算規則に基づいて作成される連結貸借対照表、連結損益計算書、連結株主資本等変動計算書をいう。</w:t>
      </w:r>
    </w:p>
    <w:p w14:paraId="299FC73F" w14:textId="77777777" w:rsidR="000101B1" w:rsidRPr="000101B1" w:rsidRDefault="000101B1" w:rsidP="000101B1">
      <w:pPr>
        <w:tabs>
          <w:tab w:val="left" w:pos="1446"/>
          <w:tab w:val="left" w:pos="1928"/>
        </w:tabs>
        <w:autoSpaceDE w:val="0"/>
        <w:adjustRightInd w:val="0"/>
        <w:ind w:leftChars="450" w:left="1490" w:hangingChars="100" w:hanging="271"/>
        <w:jc w:val="left"/>
        <w:rPr>
          <w:rFonts w:hAnsi="ＭＳ 明朝"/>
          <w:szCs w:val="24"/>
        </w:rPr>
      </w:pPr>
      <w:r w:rsidRPr="000101B1">
        <w:rPr>
          <w:rFonts w:hAnsi="ＭＳ 明朝" w:hint="eastAsia"/>
          <w:szCs w:val="24"/>
        </w:rPr>
        <w:t>2.この運営ルールにおいて、連結財務諸表は、金融商品取引法の規定に基づき、連結財務諸表規則に準拠して作成し、次の財務諸表から構成される。</w:t>
      </w:r>
    </w:p>
    <w:p w14:paraId="71AB90ED" w14:textId="77777777" w:rsidR="000101B1" w:rsidRPr="000101B1" w:rsidRDefault="000101B1" w:rsidP="000101B1">
      <w:pPr>
        <w:tabs>
          <w:tab w:val="left" w:pos="1446"/>
          <w:tab w:val="left" w:pos="1928"/>
        </w:tabs>
        <w:autoSpaceDE w:val="0"/>
        <w:adjustRightInd w:val="0"/>
        <w:ind w:leftChars="550" w:left="1490"/>
        <w:jc w:val="left"/>
        <w:rPr>
          <w:rFonts w:hAnsi="ＭＳ 明朝"/>
          <w:szCs w:val="24"/>
        </w:rPr>
      </w:pPr>
      <w:r w:rsidRPr="000101B1">
        <w:rPr>
          <w:rFonts w:hAnsi="ＭＳ 明朝" w:hint="eastAsia"/>
          <w:szCs w:val="24"/>
        </w:rPr>
        <w:t>(1)連結財務諸表</w:t>
      </w:r>
    </w:p>
    <w:p w14:paraId="5DE3DA84"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①連結貸借対照表</w:t>
      </w:r>
    </w:p>
    <w:p w14:paraId="0942F510"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②連結損益計算書</w:t>
      </w:r>
    </w:p>
    <w:p w14:paraId="68C02AFF"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③連結包括利益計算書</w:t>
      </w:r>
    </w:p>
    <w:p w14:paraId="2F3E5DB7"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④連結株主資本等変動計算書</w:t>
      </w:r>
    </w:p>
    <w:p w14:paraId="069E1099"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⑤連結キャッシュ・フロー計算書</w:t>
      </w:r>
    </w:p>
    <w:p w14:paraId="78EF6C42" w14:textId="77777777" w:rsidR="000101B1" w:rsidRPr="000101B1" w:rsidRDefault="000101B1" w:rsidP="000101B1">
      <w:pPr>
        <w:tabs>
          <w:tab w:val="left" w:pos="1446"/>
          <w:tab w:val="left" w:pos="1928"/>
        </w:tabs>
        <w:autoSpaceDE w:val="0"/>
        <w:adjustRightInd w:val="0"/>
        <w:ind w:leftChars="550" w:left="1490"/>
        <w:jc w:val="left"/>
        <w:rPr>
          <w:rFonts w:hAnsi="ＭＳ 明朝"/>
          <w:szCs w:val="24"/>
        </w:rPr>
      </w:pPr>
      <w:r w:rsidRPr="000101B1">
        <w:rPr>
          <w:rFonts w:hAnsi="ＭＳ 明朝" w:hint="eastAsia"/>
          <w:szCs w:val="24"/>
        </w:rPr>
        <w:t>(2)四半期連結財務諸表</w:t>
      </w:r>
    </w:p>
    <w:p w14:paraId="14192667"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①四半期連結貸借対照表</w:t>
      </w:r>
    </w:p>
    <w:p w14:paraId="23E2EBCD"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②四半期連結損益計算書</w:t>
      </w:r>
    </w:p>
    <w:p w14:paraId="537CDBA8"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③四半期連結包括利益計算書</w:t>
      </w:r>
    </w:p>
    <w:p w14:paraId="7803A11B"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t>④四半期連結株主資本等変動計算書</w:t>
      </w:r>
    </w:p>
    <w:p w14:paraId="3E488A49" w14:textId="77777777" w:rsidR="000101B1" w:rsidRPr="000101B1" w:rsidRDefault="000101B1" w:rsidP="000101B1">
      <w:pPr>
        <w:tabs>
          <w:tab w:val="left" w:pos="1446"/>
          <w:tab w:val="left" w:pos="1928"/>
        </w:tabs>
        <w:autoSpaceDE w:val="0"/>
        <w:adjustRightInd w:val="0"/>
        <w:ind w:leftChars="700" w:left="1897"/>
        <w:jc w:val="left"/>
        <w:rPr>
          <w:rFonts w:hAnsi="ＭＳ 明朝"/>
          <w:szCs w:val="24"/>
        </w:rPr>
      </w:pPr>
      <w:r w:rsidRPr="000101B1">
        <w:rPr>
          <w:rFonts w:hAnsi="ＭＳ 明朝" w:hint="eastAsia"/>
          <w:szCs w:val="24"/>
        </w:rPr>
        <w:lastRenderedPageBreak/>
        <w:t>⑤四半期連結キャッシュ・フロー計算書</w:t>
      </w:r>
    </w:p>
    <w:p w14:paraId="7FEDE78F"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64D95F5E"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第37条　(連結決算の担当者の決定)</w:t>
      </w:r>
    </w:p>
    <w:p w14:paraId="022C9442"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親会社および関係会社の財務責任者は、各々の会社から連結経理責任者を1名、連結経理担当者を選任する。</w:t>
      </w:r>
    </w:p>
    <w:p w14:paraId="03406C2A"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98245F9"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第38条　(連結決算の担当者の統括)</w:t>
      </w:r>
    </w:p>
    <w:p w14:paraId="75C35391"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親会社の連結経理責任者は関係会社の連結経理責任者を統括する。関係会社の連結経理責任者は、親会社の連結経理責任者の指示に従い、必要な資料を遅滞なく親会社の連結経理責任者に提出しなければならない。</w:t>
      </w:r>
    </w:p>
    <w:p w14:paraId="6169CC5F"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32D24B87"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第39条　(連結決算の計画)</w:t>
      </w:r>
    </w:p>
    <w:p w14:paraId="48A84CEA"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1.親会社の連結経理責任者は、連結決算短信および有価証券報告書の提出時期ならびに会社法の定める連結計算書類の作成・承認・監査の時期を勘案して、連結決算日程計画表を作成しなければならない。</w:t>
      </w:r>
    </w:p>
    <w:p w14:paraId="7B9B82CC"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2.親会社の連結経理責任者は、四半期決算短信の開示の時期および四半期報告書の提出時期を勘案して、四半期連結決算日程計画表を作成しなければならない。</w:t>
      </w:r>
    </w:p>
    <w:p w14:paraId="17F5CB7E"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4B8C4C28"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第40条　(連結パッケージの作成、送付、回収)</w:t>
      </w:r>
    </w:p>
    <w:p w14:paraId="60527AE3"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1.連結経理担当者は、連結決算の日程を踏まえて、連結決算に必要な情報を吟味し、連結パッケージを作成しなければならない。また、親会社の連結経理担当者は適時に連結パッケージを確実に回収しなければならない。</w:t>
      </w:r>
    </w:p>
    <w:p w14:paraId="574146EE" w14:textId="77777777" w:rsidR="000101B1" w:rsidRPr="000101B1" w:rsidRDefault="000101B1" w:rsidP="000101B1">
      <w:pPr>
        <w:tabs>
          <w:tab w:val="left" w:pos="1446"/>
          <w:tab w:val="left" w:pos="1928"/>
        </w:tabs>
        <w:autoSpaceDE w:val="0"/>
        <w:ind w:leftChars="450" w:left="1490" w:hangingChars="100" w:hanging="271"/>
        <w:jc w:val="left"/>
        <w:rPr>
          <w:rFonts w:hAnsi="ＭＳ 明朝"/>
          <w:szCs w:val="24"/>
        </w:rPr>
      </w:pPr>
      <w:r w:rsidRPr="000101B1">
        <w:rPr>
          <w:rFonts w:hAnsi="ＭＳ 明朝" w:hint="eastAsia"/>
          <w:szCs w:val="24"/>
        </w:rPr>
        <w:t>2.連結パッケージは、次の諸表を含むものとする。</w:t>
      </w:r>
    </w:p>
    <w:p w14:paraId="7E4B0AF3" w14:textId="77777777" w:rsidR="000101B1" w:rsidRPr="000101B1" w:rsidRDefault="000101B1" w:rsidP="000101B1">
      <w:pPr>
        <w:tabs>
          <w:tab w:val="left" w:pos="1446"/>
          <w:tab w:val="left" w:pos="1928"/>
        </w:tabs>
        <w:autoSpaceDE w:val="0"/>
        <w:ind w:leftChars="550" w:left="1896" w:hangingChars="150" w:hanging="406"/>
        <w:jc w:val="left"/>
        <w:rPr>
          <w:rFonts w:hAnsi="ＭＳ 明朝"/>
          <w:szCs w:val="24"/>
        </w:rPr>
      </w:pPr>
      <w:r w:rsidRPr="000101B1">
        <w:rPr>
          <w:rFonts w:hAnsi="ＭＳ 明朝" w:hint="eastAsia"/>
          <w:szCs w:val="24"/>
        </w:rPr>
        <w:t>(1)個別財務諸表（貸借対照表、損益計算書、株主資本等変動計算書、個別注記表）</w:t>
      </w:r>
    </w:p>
    <w:p w14:paraId="1FEFFB19"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(2)関係会社間取引明細表</w:t>
      </w:r>
    </w:p>
    <w:p w14:paraId="5480BA6F"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(3)関係会社間債権債務明細表</w:t>
      </w:r>
    </w:p>
    <w:p w14:paraId="697D11AF"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(4)関係会社間たな卸資産および固定資産取引明細表</w:t>
      </w:r>
    </w:p>
    <w:p w14:paraId="7E1C4CD9" w14:textId="77777777" w:rsidR="000101B1" w:rsidRPr="000101B1" w:rsidRDefault="000101B1" w:rsidP="000101B1">
      <w:pPr>
        <w:tabs>
          <w:tab w:val="left" w:pos="1446"/>
          <w:tab w:val="left" w:pos="1928"/>
        </w:tabs>
        <w:autoSpaceDE w:val="0"/>
        <w:ind w:leftChars="550" w:left="1490"/>
        <w:jc w:val="left"/>
        <w:rPr>
          <w:rFonts w:hAnsi="ＭＳ 明朝"/>
          <w:szCs w:val="24"/>
        </w:rPr>
      </w:pPr>
      <w:r w:rsidRPr="000101B1">
        <w:rPr>
          <w:rFonts w:hAnsi="ＭＳ 明朝" w:hint="eastAsia"/>
          <w:szCs w:val="24"/>
        </w:rPr>
        <w:t>(5)その他連結注記に必要な資料</w:t>
      </w:r>
    </w:p>
    <w:p w14:paraId="1EBD1EB7"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58500BF3"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第41条　(連結の範囲)</w:t>
      </w:r>
    </w:p>
    <w:p w14:paraId="11E74F55"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連結の範囲は原則としてすべての子会社とする。親会社の連結経理責任者は、他の会社に対する支配力について検討し、当該他の会社を連結子会社に含めるか否か検討しなければならない。</w:t>
      </w:r>
    </w:p>
    <w:p w14:paraId="71DB327D" w14:textId="77777777" w:rsidR="000101B1" w:rsidRPr="000101B1" w:rsidRDefault="000101B1" w:rsidP="000101B1">
      <w:pPr>
        <w:tabs>
          <w:tab w:val="left" w:pos="1446"/>
          <w:tab w:val="left" w:pos="1928"/>
        </w:tabs>
        <w:autoSpaceDE w:val="0"/>
        <w:jc w:val="left"/>
        <w:rPr>
          <w:rFonts w:ascii="ＭＳ ゴシック" w:eastAsia="ＭＳ ゴシック" w:hAnsi="ＭＳ ゴシック"/>
          <w:szCs w:val="24"/>
        </w:rPr>
      </w:pPr>
    </w:p>
    <w:p w14:paraId="012CD19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第42条　(持分法適用会社の範囲)</w:t>
      </w:r>
    </w:p>
    <w:p w14:paraId="2F720C3D"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非連結子会社および関連会社は、原則として持分法を適用する。ただし、親会社の連結経理責任者は、非連結子会社および関連会社について、その重要性等を考慮し、非連結子会社および関連会社に持分法を適用するか否かを検討しなければならない。</w:t>
      </w:r>
    </w:p>
    <w:p w14:paraId="454C4D56"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1B3FC508"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第43条　(予備調査)</w:t>
      </w:r>
    </w:p>
    <w:p w14:paraId="78768B89"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新たに連結子会社が増えた場合には、連結経理担当者は新連結子会社について、次の点を調査し資料を入手しなければならない。</w:t>
      </w:r>
    </w:p>
    <w:p w14:paraId="76D3F97B"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(1)会社名称</w:t>
      </w:r>
    </w:p>
    <w:p w14:paraId="3D16E77C"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(2)決算日</w:t>
      </w:r>
    </w:p>
    <w:p w14:paraId="32BB4701"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(3)使用通貨単位</w:t>
      </w:r>
    </w:p>
    <w:p w14:paraId="559FCBBA"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(4)主な会計処理方針</w:t>
      </w:r>
    </w:p>
    <w:p w14:paraId="6E577AA8"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(5)支配獲得日における個別貸借対照表</w:t>
      </w:r>
    </w:p>
    <w:p w14:paraId="2D0961F0"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(6)支配獲得日における公正評価額を基礎にした個別貸借対照表</w:t>
      </w:r>
    </w:p>
    <w:p w14:paraId="5BFF0509"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(7)支配獲得日におけるグループの所有割合</w:t>
      </w:r>
    </w:p>
    <w:p w14:paraId="617103BB"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47A9187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第44条　(連結会社の決算日が異なる場合)</w:t>
      </w:r>
    </w:p>
    <w:p w14:paraId="3D1D6168"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当社と連結子会社の決算日が異なる場合は、原則として、連結子会社の決算日を変更するものとする。</w:t>
      </w:r>
    </w:p>
    <w:p w14:paraId="2B2E9F23"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369BB8B7"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第45条　(資本連結手続)</w:t>
      </w:r>
    </w:p>
    <w:p w14:paraId="0F0A0466" w14:textId="77777777" w:rsidR="000101B1" w:rsidRPr="000101B1" w:rsidRDefault="000101B1" w:rsidP="000101B1">
      <w:pPr>
        <w:tabs>
          <w:tab w:val="left" w:pos="1446"/>
          <w:tab w:val="left" w:pos="1928"/>
        </w:tabs>
        <w:autoSpaceDE w:val="0"/>
        <w:ind w:leftChars="450" w:left="1219"/>
        <w:jc w:val="left"/>
        <w:rPr>
          <w:rFonts w:hAnsi="ＭＳ 明朝"/>
          <w:szCs w:val="24"/>
        </w:rPr>
      </w:pPr>
      <w:r w:rsidRPr="000101B1">
        <w:rPr>
          <w:rFonts w:hAnsi="ＭＳ 明朝" w:hint="eastAsia"/>
          <w:szCs w:val="24"/>
        </w:rPr>
        <w:t>新たに連結子会社が増加した場合には、親会社の投資勘定と子会社の資本勘定を相殺するに当っては、全面時価評価法を採用するものとする。</w:t>
      </w:r>
    </w:p>
    <w:p w14:paraId="0E576E36"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4B2BC716"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第46条　(消去手続)</w:t>
      </w:r>
    </w:p>
    <w:p w14:paraId="69817D0B" w14:textId="77777777" w:rsidR="000101B1" w:rsidRPr="000101B1" w:rsidRDefault="000101B1" w:rsidP="000101B1">
      <w:pPr>
        <w:tabs>
          <w:tab w:val="left" w:pos="1446"/>
          <w:tab w:val="left" w:pos="1928"/>
        </w:tabs>
        <w:autoSpaceDE w:val="0"/>
        <w:ind w:leftChars="450" w:left="1219"/>
        <w:jc w:val="left"/>
        <w:rPr>
          <w:rFonts w:ascii="ＭＳ ゴシック" w:eastAsia="ＭＳ ゴシック" w:hAnsi="ＭＳ ゴシック"/>
          <w:szCs w:val="24"/>
        </w:rPr>
      </w:pPr>
      <w:r w:rsidRPr="000101B1">
        <w:rPr>
          <w:rFonts w:hAnsi="ＭＳ 明朝" w:hint="eastAsia"/>
          <w:szCs w:val="24"/>
        </w:rPr>
        <w:t>次に掲げるものは、関係会社相互間で照合の上、相殺消去しなければならない。</w:t>
      </w:r>
    </w:p>
    <w:p w14:paraId="27A6F7F9" w14:textId="77777777" w:rsidR="000101B1" w:rsidRPr="000101B1" w:rsidRDefault="000101B1" w:rsidP="000101B1">
      <w:pPr>
        <w:tabs>
          <w:tab w:val="left" w:pos="1446"/>
          <w:tab w:val="left" w:pos="1928"/>
        </w:tabs>
        <w:autoSpaceDE w:val="0"/>
        <w:ind w:leftChars="450" w:left="1625" w:hangingChars="150" w:hanging="406"/>
        <w:jc w:val="left"/>
        <w:rPr>
          <w:rFonts w:hAnsi="ＭＳ 明朝"/>
          <w:szCs w:val="24"/>
        </w:rPr>
      </w:pPr>
      <w:r w:rsidRPr="000101B1">
        <w:rPr>
          <w:rFonts w:hAnsi="ＭＳ 明朝" w:hint="eastAsia"/>
          <w:szCs w:val="24"/>
        </w:rPr>
        <w:t>(1)グループ会社間の投資勘定と資本勘定の消去は、原則として全面時価評価法による。</w:t>
      </w:r>
    </w:p>
    <w:p w14:paraId="4B83D14A" w14:textId="77777777" w:rsidR="000101B1" w:rsidRPr="000101B1" w:rsidRDefault="000101B1" w:rsidP="000101B1">
      <w:pPr>
        <w:tabs>
          <w:tab w:val="left" w:pos="1446"/>
          <w:tab w:val="left" w:pos="1928"/>
        </w:tabs>
        <w:autoSpaceDE w:val="0"/>
        <w:ind w:leftChars="450" w:left="1625" w:hangingChars="150" w:hanging="406"/>
        <w:jc w:val="left"/>
        <w:rPr>
          <w:rFonts w:hAnsi="ＭＳ 明朝"/>
          <w:szCs w:val="24"/>
        </w:rPr>
      </w:pPr>
      <w:r w:rsidRPr="000101B1">
        <w:rPr>
          <w:rFonts w:hAnsi="ＭＳ 明朝" w:hint="eastAsia"/>
          <w:szCs w:val="24"/>
        </w:rPr>
        <w:t>(2)グループ会社間の債権、債務は債権債務明細表をもって相殺消去するものとする。</w:t>
      </w:r>
    </w:p>
    <w:p w14:paraId="1B00E8D0" w14:textId="77777777" w:rsidR="000101B1" w:rsidRPr="000101B1" w:rsidRDefault="000101B1" w:rsidP="000101B1">
      <w:pPr>
        <w:tabs>
          <w:tab w:val="left" w:pos="1446"/>
          <w:tab w:val="left" w:pos="1928"/>
        </w:tabs>
        <w:autoSpaceDE w:val="0"/>
        <w:ind w:leftChars="450" w:left="1625" w:hangingChars="150" w:hanging="406"/>
        <w:jc w:val="left"/>
        <w:rPr>
          <w:rFonts w:hAnsi="ＭＳ 明朝"/>
          <w:szCs w:val="24"/>
        </w:rPr>
      </w:pPr>
      <w:r w:rsidRPr="000101B1">
        <w:rPr>
          <w:rFonts w:hAnsi="ＭＳ 明朝" w:hint="eastAsia"/>
          <w:szCs w:val="24"/>
        </w:rPr>
        <w:t>(3)グループ会社間の損益取引は、損益取引明細表をもって相殺消去するものとする。</w:t>
      </w:r>
    </w:p>
    <w:p w14:paraId="0CF040BE" w14:textId="77777777" w:rsidR="000101B1" w:rsidRPr="000101B1" w:rsidRDefault="000101B1" w:rsidP="000101B1">
      <w:pPr>
        <w:tabs>
          <w:tab w:val="left" w:pos="1446"/>
          <w:tab w:val="left" w:pos="1928"/>
        </w:tabs>
        <w:autoSpaceDE w:val="0"/>
        <w:ind w:leftChars="450" w:left="1625" w:hangingChars="150" w:hanging="406"/>
        <w:jc w:val="left"/>
        <w:rPr>
          <w:rFonts w:hAnsi="ＭＳ 明朝"/>
          <w:szCs w:val="24"/>
        </w:rPr>
      </w:pPr>
      <w:r w:rsidRPr="000101B1">
        <w:rPr>
          <w:rFonts w:hAnsi="ＭＳ 明朝" w:hint="eastAsia"/>
          <w:szCs w:val="24"/>
        </w:rPr>
        <w:t>(4)グループ会社間の未実現利益の消去は、たな卸資産等明細表をもって相殺消去するものとする。</w:t>
      </w:r>
    </w:p>
    <w:p w14:paraId="77F06FF1"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5E037639"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第47条　(のれんの処理)</w:t>
      </w:r>
    </w:p>
    <w:p w14:paraId="45DB4458"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前条第１号の手続で差額が生じる場合には、当該差額をのれん又は負ののれんとし、20年以内で均等償却するものとする。ただし、その金額の僅少なものは、当該勘定が生じた期の損益として処理することができる。</w:t>
      </w:r>
    </w:p>
    <w:p w14:paraId="07D9C36E"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482B162C"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第48条　(のれんの表示)</w:t>
      </w:r>
    </w:p>
    <w:p w14:paraId="37FE6D34" w14:textId="77777777" w:rsidR="000101B1" w:rsidRPr="0049608C" w:rsidRDefault="000101B1" w:rsidP="000101B1">
      <w:pPr>
        <w:tabs>
          <w:tab w:val="left" w:pos="1446"/>
          <w:tab w:val="left" w:pos="1928"/>
        </w:tabs>
        <w:autoSpaceDE w:val="0"/>
        <w:ind w:leftChars="450" w:left="1490" w:hangingChars="100" w:hanging="271"/>
        <w:jc w:val="left"/>
        <w:rPr>
          <w:rFonts w:hAnsi="ＭＳ 明朝"/>
          <w:szCs w:val="24"/>
        </w:rPr>
      </w:pPr>
      <w:r w:rsidRPr="0049608C">
        <w:rPr>
          <w:rFonts w:hAnsi="ＭＳ 明朝" w:hint="eastAsia"/>
          <w:szCs w:val="24"/>
        </w:rPr>
        <w:t>1.のれんは貸借対照表上、資産の部に計上し、その当期償却額は損益計算書上、販売費および一般管理費に含めて計上する。</w:t>
      </w:r>
    </w:p>
    <w:p w14:paraId="36B027DA" w14:textId="77777777" w:rsidR="000101B1" w:rsidRPr="0049608C" w:rsidRDefault="000101B1" w:rsidP="000101B1">
      <w:pPr>
        <w:tabs>
          <w:tab w:val="left" w:pos="1446"/>
          <w:tab w:val="left" w:pos="1928"/>
        </w:tabs>
        <w:autoSpaceDE w:val="0"/>
        <w:ind w:leftChars="450" w:left="1490" w:hangingChars="100" w:hanging="271"/>
        <w:jc w:val="left"/>
        <w:rPr>
          <w:rFonts w:hAnsi="ＭＳ 明朝"/>
          <w:szCs w:val="24"/>
        </w:rPr>
      </w:pPr>
      <w:r w:rsidRPr="0049608C">
        <w:rPr>
          <w:rFonts w:hAnsi="ＭＳ 明朝" w:hint="eastAsia"/>
          <w:szCs w:val="24"/>
        </w:rPr>
        <w:t>2.負ののれんは貸借対照表上、負債の部に計上し、その当期償却額は損益計算書上、特別利益に含めて計上する。</w:t>
      </w:r>
    </w:p>
    <w:p w14:paraId="1EF5A65F" w14:textId="77777777" w:rsidR="000101B1" w:rsidRPr="0049608C" w:rsidRDefault="000101B1" w:rsidP="000101B1">
      <w:pPr>
        <w:tabs>
          <w:tab w:val="left" w:pos="1446"/>
          <w:tab w:val="left" w:pos="1928"/>
        </w:tabs>
        <w:autoSpaceDE w:val="0"/>
        <w:ind w:leftChars="450" w:left="1490" w:hangingChars="100" w:hanging="271"/>
        <w:jc w:val="left"/>
        <w:rPr>
          <w:rFonts w:hAnsi="ＭＳ 明朝"/>
          <w:szCs w:val="24"/>
        </w:rPr>
      </w:pPr>
      <w:r w:rsidRPr="0049608C">
        <w:rPr>
          <w:rFonts w:hAnsi="ＭＳ 明朝" w:hint="eastAsia"/>
          <w:szCs w:val="24"/>
        </w:rPr>
        <w:t>3.のれんおよび負ののれんが発生する場合で、かつ、いずれかの金額の重要性が乏しい場合は、これらを相殺して表示する。</w:t>
      </w:r>
    </w:p>
    <w:p w14:paraId="50FC4BA0" w14:textId="77777777" w:rsidR="000101B1" w:rsidRPr="000101B1" w:rsidRDefault="000101B1" w:rsidP="000101B1">
      <w:pPr>
        <w:tabs>
          <w:tab w:val="left" w:pos="1446"/>
          <w:tab w:val="left" w:pos="1928"/>
        </w:tabs>
        <w:autoSpaceDE w:val="0"/>
        <w:ind w:left="271" w:hangingChars="100" w:hanging="271"/>
        <w:rPr>
          <w:rFonts w:ascii="ＭＳ ゴシック" w:eastAsia="ＭＳ ゴシック" w:hAnsi="ＭＳ ゴシック"/>
          <w:szCs w:val="24"/>
        </w:rPr>
      </w:pPr>
    </w:p>
    <w:p w14:paraId="79EE0D0B"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第49条　(非支配株主)</w:t>
      </w:r>
    </w:p>
    <w:p w14:paraId="3C77499F"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第46条1号の手続で発生する非支配株主持分は、純資産の部に非支配株主持分の科目をもって表示する。</w:t>
      </w:r>
    </w:p>
    <w:p w14:paraId="47501E85"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67AFB246"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第50条　(税効果会計)</w:t>
      </w:r>
    </w:p>
    <w:p w14:paraId="5A571F17"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連結会社の法人税その他利益に関連する金額を課税標準とする税額については、一時差異に係る税金の額を期間配分する。</w:t>
      </w:r>
    </w:p>
    <w:p w14:paraId="5B509244"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3D081D89"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第51条　(未実現損益の消去)</w:t>
      </w:r>
    </w:p>
    <w:p w14:paraId="7B61DAA5"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連結会社相互間の取引によって取得したたな卸資産、固定資産その他の資産に含まれる未実現損益はその全額を消去し、売り手側の子会社に非支配株主が存在する場合には、未実現損益は、その持分比率に応じて親会社の持分と非支配株主持分とに配分する。</w:t>
      </w:r>
    </w:p>
    <w:p w14:paraId="740DEFE3"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55B8D2B9"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第52条　(連結株主資本等変動計算書)</w:t>
      </w:r>
    </w:p>
    <w:p w14:paraId="2E78D568"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連結株主資本等変動計算書は、連結会計年度に対応する期間に係る連結会社の株主資本等変動計算書の株主資本等を基礎として作成しなければならない。</w:t>
      </w:r>
    </w:p>
    <w:p w14:paraId="6C9FB438"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45D1C673"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第53条　(連結キャッシュ・フロー計算書の開示区分)</w:t>
      </w:r>
    </w:p>
    <w:p w14:paraId="1BB6F83B"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連結キャッシュ・フロー計算書は、「営業活動によるキャッシュ・フロー」、「投資活動によるキャッシュ・フロー」および「財務活動によるキャッシュ・フロー」に区分し、間接法により表示する。また、重</w:t>
      </w:r>
      <w:r w:rsidRPr="0049608C">
        <w:rPr>
          <w:rFonts w:hAnsi="ＭＳ 明朝" w:hint="eastAsia"/>
          <w:szCs w:val="24"/>
        </w:rPr>
        <w:lastRenderedPageBreak/>
        <w:t>要な非資金取引については、これを注記する。</w:t>
      </w:r>
    </w:p>
    <w:p w14:paraId="555DA9BA" w14:textId="77777777" w:rsidR="000101B1" w:rsidRPr="0049608C" w:rsidRDefault="000101B1" w:rsidP="000101B1">
      <w:pPr>
        <w:tabs>
          <w:tab w:val="left" w:pos="1446"/>
          <w:tab w:val="left" w:pos="1928"/>
        </w:tabs>
        <w:autoSpaceDE w:val="0"/>
        <w:rPr>
          <w:rFonts w:hAnsi="ＭＳ 明朝"/>
          <w:szCs w:val="24"/>
        </w:rPr>
      </w:pPr>
    </w:p>
    <w:p w14:paraId="05452A8D"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第54条　(連結キャッシュ・フロー計算書の表示)</w:t>
      </w:r>
    </w:p>
    <w:p w14:paraId="497E1EDE"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損益の算定に含まれる受取利息、受取配当金および支払利息は「営業活動によるキャッシュ・フロー」の区分に、損益の算定に含まれない支払配当金は「財務活動によるキャッシュ・フロー」の区分に記載する。</w:t>
      </w:r>
    </w:p>
    <w:p w14:paraId="0672F49B"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031E9C81" w14:textId="77777777" w:rsidR="000101B1" w:rsidRPr="000101B1" w:rsidRDefault="000101B1" w:rsidP="000101B1">
      <w:pPr>
        <w:tabs>
          <w:tab w:val="left" w:pos="1446"/>
          <w:tab w:val="left" w:pos="1928"/>
        </w:tabs>
        <w:autoSpaceDE w:val="0"/>
        <w:ind w:left="1355" w:hangingChars="500" w:hanging="1355"/>
        <w:jc w:val="left"/>
        <w:rPr>
          <w:rFonts w:ascii="ＭＳ ゴシック" w:eastAsia="ＭＳ ゴシック" w:hAnsi="ＭＳ ゴシック"/>
          <w:szCs w:val="24"/>
        </w:rPr>
      </w:pPr>
      <w:r w:rsidRPr="000101B1">
        <w:rPr>
          <w:rFonts w:ascii="ＭＳ ゴシック" w:eastAsia="ＭＳ ゴシック" w:hAnsi="ＭＳ ゴシック" w:hint="eastAsia"/>
          <w:szCs w:val="24"/>
        </w:rPr>
        <w:t>第55条　(連結キャッシュ・フロー計算書)</w:t>
      </w:r>
    </w:p>
    <w:p w14:paraId="4866AB33" w14:textId="77777777" w:rsidR="000101B1" w:rsidRPr="0049608C" w:rsidRDefault="000101B1" w:rsidP="000101B1">
      <w:pPr>
        <w:tabs>
          <w:tab w:val="left" w:pos="1446"/>
          <w:tab w:val="left" w:pos="1928"/>
        </w:tabs>
        <w:autoSpaceDE w:val="0"/>
        <w:ind w:leftChars="450" w:left="1219"/>
        <w:jc w:val="left"/>
        <w:rPr>
          <w:rFonts w:hAnsi="ＭＳ 明朝"/>
          <w:szCs w:val="24"/>
        </w:rPr>
      </w:pPr>
      <w:r w:rsidRPr="0049608C">
        <w:rPr>
          <w:rFonts w:hAnsi="ＭＳ 明朝" w:hint="eastAsia"/>
          <w:szCs w:val="24"/>
        </w:rPr>
        <w:t>連結キャッシュ・フローは、簡便法により作成する。なお、連結会社相互間において、現金および現金同等物の未達取引がある場合には、これを調整した上で連結キャッシュ・フローを作成するものとする。</w:t>
      </w:r>
    </w:p>
    <w:p w14:paraId="25C28F0F" w14:textId="77777777" w:rsidR="000101B1" w:rsidRPr="000101B1" w:rsidRDefault="000101B1" w:rsidP="000101B1">
      <w:pPr>
        <w:tabs>
          <w:tab w:val="left" w:pos="1446"/>
          <w:tab w:val="left" w:pos="1928"/>
        </w:tabs>
        <w:autoSpaceDE w:val="0"/>
        <w:rPr>
          <w:rFonts w:ascii="ＭＳ ゴシック" w:eastAsia="ＭＳ ゴシック" w:hAnsi="ＭＳ ゴシック"/>
          <w:szCs w:val="24"/>
        </w:rPr>
      </w:pPr>
    </w:p>
    <w:p w14:paraId="66EE4BDE" w14:textId="77777777" w:rsidR="00034A5B" w:rsidRPr="000101B1" w:rsidRDefault="00034A5B">
      <w:pPr>
        <w:rPr>
          <w:rFonts w:ascii="ＭＳ ゴシック" w:eastAsia="ＭＳ ゴシック" w:hAnsi="ＭＳ ゴシック"/>
        </w:rPr>
      </w:pPr>
    </w:p>
    <w:sectPr w:rsidR="00034A5B" w:rsidRPr="000101B1" w:rsidSect="0007452E">
      <w:headerReference w:type="default" r:id="rId6"/>
      <w:footerReference w:type="default" r:id="rId7"/>
      <w:pgSz w:w="11906" w:h="16838" w:code="9"/>
      <w:pgMar w:top="1418" w:right="1134" w:bottom="1134" w:left="1134" w:header="1134" w:footer="567" w:gutter="0"/>
      <w:pgNumType w:fmt="numberInDash" w:start="0"/>
      <w:cols w:space="425"/>
      <w:titlePg/>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3CC6D" w14:textId="77777777" w:rsidR="008A1E51" w:rsidRDefault="008A1E51" w:rsidP="000101B1">
      <w:r>
        <w:separator/>
      </w:r>
    </w:p>
  </w:endnote>
  <w:endnote w:type="continuationSeparator" w:id="0">
    <w:p w14:paraId="26C74772" w14:textId="77777777" w:rsidR="008A1E51" w:rsidRDefault="008A1E51" w:rsidP="0001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A7D5" w14:textId="77777777" w:rsidR="00B77A2C" w:rsidRDefault="00CE343D" w:rsidP="0013009F">
    <w:pPr>
      <w:pStyle w:val="a5"/>
      <w:jc w:val="center"/>
    </w:pPr>
    <w:r>
      <w:fldChar w:fldCharType="begin"/>
    </w:r>
    <w:r>
      <w:instrText>PAGE   \* MERGEFORMAT</w:instrText>
    </w:r>
    <w:r>
      <w:fldChar w:fldCharType="separate"/>
    </w:r>
    <w:r w:rsidRPr="009E61D5">
      <w:rPr>
        <w:noProof/>
        <w:lang w:val="ja-JP"/>
      </w:rPr>
      <w:t>-</w:t>
    </w:r>
    <w:r>
      <w:rPr>
        <w:noProof/>
      </w:rPr>
      <w:t xml:space="preserve"> 12 -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BB8FA" w14:textId="77777777" w:rsidR="008A1E51" w:rsidRDefault="008A1E51" w:rsidP="000101B1">
      <w:r>
        <w:separator/>
      </w:r>
    </w:p>
  </w:footnote>
  <w:footnote w:type="continuationSeparator" w:id="0">
    <w:p w14:paraId="2C70030E" w14:textId="77777777" w:rsidR="008A1E51" w:rsidRDefault="008A1E51" w:rsidP="0001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866" w:type="dxa"/>
      <w:jc w:val="center"/>
      <w:tblLook w:val="04A0" w:firstRow="1" w:lastRow="0" w:firstColumn="1" w:lastColumn="0" w:noHBand="0" w:noVBand="1"/>
    </w:tblPr>
    <w:tblGrid>
      <w:gridCol w:w="2098"/>
      <w:gridCol w:w="5670"/>
      <w:gridCol w:w="2098"/>
    </w:tblGrid>
    <w:tr w:rsidR="00C916A3" w14:paraId="23ADBC48" w14:textId="77777777" w:rsidTr="00C916A3">
      <w:trPr>
        <w:trHeight w:val="567"/>
        <w:jc w:val="center"/>
      </w:trPr>
      <w:tc>
        <w:tcPr>
          <w:tcW w:w="2098" w:type="dxa"/>
          <w:vAlign w:val="center"/>
        </w:tcPr>
        <w:p w14:paraId="02E6E425" w14:textId="77777777" w:rsidR="00F71AA3" w:rsidRPr="000101B1" w:rsidRDefault="00CE343D" w:rsidP="00093211">
          <w:pPr>
            <w:pStyle w:val="a3"/>
            <w:jc w:val="center"/>
            <w:rPr>
              <w:rFonts w:ascii="ＭＳ ゴシック" w:eastAsia="ＭＳ ゴシック" w:hAnsi="ＭＳ ゴシック"/>
            </w:rPr>
          </w:pPr>
          <w:r w:rsidRPr="000101B1">
            <w:rPr>
              <w:rFonts w:ascii="ＭＳ ゴシック" w:eastAsia="ＭＳ ゴシック" w:hAnsi="ＭＳ ゴシック" w:hint="eastAsia"/>
            </w:rPr>
            <w:t>要-業務-01-(2)</w:t>
          </w:r>
        </w:p>
      </w:tc>
      <w:tc>
        <w:tcPr>
          <w:tcW w:w="5670" w:type="dxa"/>
          <w:vAlign w:val="center"/>
        </w:tcPr>
        <w:p w14:paraId="6ECB1935" w14:textId="77777777" w:rsidR="00F71AA3" w:rsidRPr="000101B1" w:rsidRDefault="00CE343D" w:rsidP="009A148A">
          <w:pPr>
            <w:pStyle w:val="a3"/>
            <w:jc w:val="center"/>
            <w:rPr>
              <w:rFonts w:ascii="ＭＳ ゴシック" w:eastAsia="ＭＳ ゴシック" w:hAnsi="ＭＳ ゴシック"/>
            </w:rPr>
          </w:pPr>
          <w:r w:rsidRPr="000101B1">
            <w:rPr>
              <w:rFonts w:ascii="ＭＳ ゴシック" w:eastAsia="ＭＳ ゴシック" w:hAnsi="ＭＳ ゴシック" w:hint="eastAsia"/>
            </w:rPr>
            <w:t>決算会計運営ルール</w:t>
          </w:r>
        </w:p>
      </w:tc>
      <w:tc>
        <w:tcPr>
          <w:tcW w:w="2098" w:type="dxa"/>
          <w:vAlign w:val="center"/>
        </w:tcPr>
        <w:p w14:paraId="00930830" w14:textId="3F54D382" w:rsidR="00F71AA3" w:rsidRPr="000101B1" w:rsidRDefault="00CE343D" w:rsidP="00F71AA3">
          <w:pPr>
            <w:pStyle w:val="a3"/>
            <w:jc w:val="center"/>
            <w:rPr>
              <w:rFonts w:ascii="ＭＳ ゴシック" w:eastAsia="ＭＳ ゴシック" w:hAnsi="ＭＳ ゴシック"/>
            </w:rPr>
          </w:pPr>
          <w:r w:rsidRPr="000101B1">
            <w:rPr>
              <w:rFonts w:ascii="ＭＳ ゴシック" w:eastAsia="ＭＳ ゴシック" w:hAnsi="ＭＳ ゴシック" w:hint="eastAsia"/>
            </w:rPr>
            <w:t>20</w:t>
          </w:r>
          <w:r w:rsidR="000101B1">
            <w:rPr>
              <w:rFonts w:ascii="ＭＳ ゴシック" w:eastAsia="ＭＳ ゴシック" w:hAnsi="ＭＳ ゴシック"/>
            </w:rPr>
            <w:t>21</w:t>
          </w:r>
          <w:r w:rsidR="00507FC9">
            <w:rPr>
              <w:rFonts w:ascii="ＭＳ ゴシック" w:eastAsia="ＭＳ ゴシック" w:hAnsi="ＭＳ ゴシック" w:hint="eastAsia"/>
            </w:rPr>
            <w:t>.04.19</w:t>
          </w:r>
        </w:p>
      </w:tc>
    </w:tr>
  </w:tbl>
  <w:p w14:paraId="5B1CDB64" w14:textId="77777777" w:rsidR="00885268" w:rsidRDefault="008A1E51" w:rsidP="008F7DB4">
    <w:pPr>
      <w:pStyle w:val="a3"/>
      <w:ind w:right="960"/>
      <w:rPr>
        <w:sz w:val="2"/>
        <w:szCs w:val="2"/>
      </w:rPr>
    </w:pPr>
  </w:p>
  <w:p w14:paraId="7D196A5F" w14:textId="77777777" w:rsidR="008F7DB4" w:rsidRPr="00C24EA4" w:rsidRDefault="008A1E51" w:rsidP="008F7DB4">
    <w:pPr>
      <w:pStyle w:val="a3"/>
      <w:ind w:right="960"/>
      <w:rPr>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1"/>
    <w:rsid w:val="000101B1"/>
    <w:rsid w:val="00034A5B"/>
    <w:rsid w:val="0049608C"/>
    <w:rsid w:val="00507FC9"/>
    <w:rsid w:val="00614199"/>
    <w:rsid w:val="007C68BF"/>
    <w:rsid w:val="008A1E51"/>
    <w:rsid w:val="00CE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99B93"/>
  <w15:chartTrackingRefBased/>
  <w15:docId w15:val="{90E35622-6FCE-4C9D-A5D1-B741FC9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B1"/>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1B1"/>
    <w:pPr>
      <w:tabs>
        <w:tab w:val="center" w:pos="4252"/>
        <w:tab w:val="right" w:pos="8504"/>
      </w:tabs>
      <w:snapToGrid w:val="0"/>
    </w:pPr>
  </w:style>
  <w:style w:type="character" w:customStyle="1" w:styleId="a4">
    <w:name w:val="ヘッダー (文字)"/>
    <w:basedOn w:val="a0"/>
    <w:link w:val="a3"/>
    <w:rsid w:val="000101B1"/>
    <w:rPr>
      <w:rFonts w:ascii="ＭＳ 明朝" w:eastAsia="ＭＳ 明朝" w:hAnsi="Century" w:cs="Times New Roman"/>
      <w:sz w:val="24"/>
      <w:szCs w:val="20"/>
    </w:rPr>
  </w:style>
  <w:style w:type="paragraph" w:styleId="a5">
    <w:name w:val="footer"/>
    <w:basedOn w:val="a"/>
    <w:link w:val="a6"/>
    <w:uiPriority w:val="99"/>
    <w:rsid w:val="000101B1"/>
    <w:pPr>
      <w:tabs>
        <w:tab w:val="center" w:pos="4252"/>
        <w:tab w:val="right" w:pos="8504"/>
      </w:tabs>
      <w:snapToGrid w:val="0"/>
    </w:pPr>
  </w:style>
  <w:style w:type="character" w:customStyle="1" w:styleId="a6">
    <w:name w:val="フッター (文字)"/>
    <w:basedOn w:val="a0"/>
    <w:link w:val="a5"/>
    <w:uiPriority w:val="99"/>
    <w:rsid w:val="000101B1"/>
    <w:rPr>
      <w:rFonts w:ascii="ＭＳ 明朝" w:eastAsia="ＭＳ 明朝" w:hAnsi="Century" w:cs="Times New Roman"/>
      <w:sz w:val="24"/>
      <w:szCs w:val="20"/>
    </w:rPr>
  </w:style>
  <w:style w:type="table" w:styleId="a7">
    <w:name w:val="Table Grid"/>
    <w:basedOn w:val="a1"/>
    <w:rsid w:val="000101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1216</Words>
  <Characters>6936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ishida-mh</dc:creator>
  <cp:keywords/>
  <dc:description/>
  <cp:lastModifiedBy>oomori-tk</cp:lastModifiedBy>
  <cp:revision>3</cp:revision>
  <dcterms:created xsi:type="dcterms:W3CDTF">2021-02-04T06:05:00Z</dcterms:created>
  <dcterms:modified xsi:type="dcterms:W3CDTF">2021-04-09T03:15:00Z</dcterms:modified>
</cp:coreProperties>
</file>